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005594" w:rsidRDefault="00ED1139" w:rsidP="00B54520">
      <w:pPr>
        <w:pStyle w:val="Title"/>
        <w:rPr>
          <w:rFonts w:cs="Arial"/>
        </w:rPr>
      </w:pPr>
      <w:r>
        <w:rPr>
          <w:rFonts w:cs="Arial"/>
        </w:rPr>
        <w:t>Arkusz informacyjny: Podstawowe zasady i powiązane pytania dotyczące analizy porównawczej organów HTA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3C5FBA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Podstawowe zasady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0939CF" w:rsidP="003C5FB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Pytania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1.</w:t>
            </w:r>
            <w:r>
              <w:rPr>
                <w:rFonts w:cs="Arial"/>
              </w:rPr>
              <w:t xml:space="preserve"> Cel i zakres oceny HTA powinien być jasno określony i odpowiedni do jej zastosowania.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zakres odpowiedzialności</w:t>
            </w:r>
            <w:r>
              <w:rPr>
                <w:rFonts w:cs="Arial"/>
              </w:rPr>
              <w:t xml:space="preserve"> organizacji HTA jest jasno zdefiniowany?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istnieje </w:t>
            </w:r>
            <w:r>
              <w:rPr>
                <w:b/>
                <w:rFonts w:cs="Arial"/>
              </w:rPr>
              <w:t>wstępny (zawierający opis działań) dokument</w:t>
            </w:r>
            <w:r>
              <w:rPr>
                <w:rFonts w:cs="Arial"/>
              </w:rPr>
              <w:t xml:space="preserve"> sporządzony przed ustanowieniem HTA i zawierający informacje o konkretnych problemach decyzyjnych do rozwiązania, odpowiednich populacjach </w:t>
            </w:r>
            <w:r>
              <w:rPr>
                <w:b/>
                <w:rFonts w:cs="Arial"/>
              </w:rPr>
              <w:t>p</w:t>
            </w:r>
            <w:r>
              <w:rPr>
                <w:rFonts w:cs="Arial"/>
              </w:rPr>
              <w:t xml:space="preserve">pacjentów do uwzględnienia, </w:t>
            </w:r>
            <w:r>
              <w:rPr>
                <w:b/>
                <w:rFonts w:cs="Arial"/>
              </w:rPr>
              <w:t>i</w:t>
            </w:r>
            <w:r>
              <w:rPr>
                <w:rFonts w:cs="Arial"/>
              </w:rPr>
              <w:t>nterwencji będącej przedmiotem zainteresowania, odpowiednich alternatywach (</w:t>
            </w:r>
            <w:r>
              <w:rPr>
                <w:b/>
                <w:rFonts w:cs="Arial"/>
              </w:rPr>
              <w:t>e</w:t>
            </w:r>
            <w:r>
              <w:rPr>
                <w:rFonts w:cs="Arial"/>
              </w:rPr>
              <w:t xml:space="preserve">lementach porównawczych) oraz o </w:t>
            </w:r>
            <w:r>
              <w:rPr>
                <w:b/>
                <w:rFonts w:cs="Arial"/>
              </w:rPr>
              <w:t>w</w:t>
            </w:r>
            <w:r>
              <w:rPr>
                <w:rFonts w:cs="Arial"/>
              </w:rPr>
              <w:t>wynikach, które mają zostać ocenione (PICO)?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i/>
                <w:rFonts w:cs="Arial"/>
              </w:rPr>
              <w:t>PICO = problemy/populacje pacjentów (P) – Interwencja (I) – Element porównawczy (Comparison) (C) – Wyniki (Outcomes) (O)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2.</w:t>
            </w:r>
            <w:r>
              <w:rPr>
                <w:rFonts w:cs="Arial"/>
              </w:rPr>
              <w:t xml:space="preserve"> Organizacja HTA powinna działać w sposób przejrzysty i bezstronny.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jest </w:t>
            </w:r>
            <w:r>
              <w:rPr>
                <w:b/>
                <w:rFonts w:cs="Arial"/>
              </w:rPr>
              <w:t>niezależna</w:t>
            </w:r>
            <w:r>
              <w:rPr>
                <w:rFonts w:cs="Arial"/>
              </w:rPr>
              <w:t xml:space="preserve"> od organu podejmującego decyzje o refundacji lub świadczeniach?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posiada rekomendację </w:t>
            </w:r>
            <w:r>
              <w:rPr>
                <w:b/>
                <w:rFonts w:cs="Arial"/>
              </w:rPr>
              <w:t>niezależnej eksperckiej komisji doradczej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istnieją udokumentowane i podane do publicznej wiadomości </w:t>
            </w:r>
            <w:r>
              <w:rPr>
                <w:b/>
                <w:rFonts w:cs="Arial"/>
              </w:rPr>
              <w:t>konflikty interesów</w:t>
            </w:r>
            <w:r>
              <w:rPr>
                <w:rFonts w:cs="Arial"/>
              </w:rPr>
              <w:t xml:space="preserve"> członków komisji?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posiedzenia</w:t>
            </w:r>
            <w:r>
              <w:rPr>
                <w:rFonts w:cs="Arial"/>
              </w:rPr>
              <w:t xml:space="preserve"> komisji są podawane do publicznej wiadomości?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informacje uzupełniające i podstawa rekomendacji zostały </w:t>
            </w:r>
            <w:r>
              <w:rPr>
                <w:b/>
                <w:rFonts w:cs="Arial"/>
              </w:rPr>
              <w:t>udostępnione publicznie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zwykle zleca przeprowadzenie oceny HTA </w:t>
            </w:r>
            <w:r>
              <w:rPr>
                <w:b/>
                <w:rFonts w:cs="Arial"/>
              </w:rPr>
              <w:t>grupom zewnętrznym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sporządzone raporty są przedmiotem </w:t>
            </w:r>
            <w:r>
              <w:rPr>
                <w:b/>
                <w:rFonts w:cs="Arial"/>
              </w:rPr>
              <w:t xml:space="preserve">niezależnej oceny naukowej </w:t>
            </w:r>
            <w:r>
              <w:rPr>
                <w:rFonts w:cs="Arial"/>
              </w:rPr>
              <w:t>przed ostatecznym oświadczeniem?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wstępne ustalenia są </w:t>
            </w:r>
            <w:r>
              <w:rPr>
                <w:b/>
                <w:rFonts w:cs="Arial"/>
              </w:rPr>
              <w:t>poddawane ocenie</w:t>
            </w:r>
            <w:r>
              <w:rPr>
                <w:rFonts w:cs="Arial"/>
              </w:rPr>
              <w:t xml:space="preserve"> przez osoby zainteresowane i społeczeństwo, wraz z argumentami uzasadniającymi ostateczne decyzje w sprawach spornych?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3.</w:t>
            </w:r>
            <w:r>
              <w:rPr>
                <w:rFonts w:cs="Arial"/>
              </w:rPr>
              <w:t xml:space="preserve"> Ocena HTA powinna uwzględniać wszystkie odpowiednie technologie.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wszystkie rodzaje technologii</w:t>
            </w:r>
            <w:r>
              <w:rPr>
                <w:rFonts w:cs="Arial"/>
              </w:rPr>
              <w:t xml:space="preserve"> (tj. leki, urządzenia, diagnostyka, procedury, modyfikacje zachowań) zostały wzięte pod uwagę?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 obrębie każdej kategorii wzięto pod uwagę </w:t>
            </w:r>
            <w:r>
              <w:rPr>
                <w:b/>
                <w:rFonts w:cs="Arial"/>
              </w:rPr>
              <w:t>zarówno nowe, jak i istniejące technologie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oceny nowych technologii uwzględniają </w:t>
            </w:r>
            <w:r>
              <w:rPr>
                <w:b/>
                <w:rFonts w:cs="Arial"/>
              </w:rPr>
              <w:t>wszystkie odpowiednie alternatywy</w:t>
            </w:r>
            <w:r>
              <w:rPr>
                <w:rFonts w:cs="Arial"/>
              </w:rPr>
              <w:t>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4.</w:t>
            </w:r>
            <w:r>
              <w:rPr>
                <w:rFonts w:cs="Arial"/>
              </w:rPr>
              <w:t xml:space="preserve"> Powinien istnieć jasny system ustalania priorytetów oceny HTA.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istnieje oficjalny system </w:t>
            </w:r>
            <w:r>
              <w:rPr>
                <w:b/>
                <w:rFonts w:cs="Arial"/>
              </w:rPr>
              <w:t>ustalania priorytetów</w:t>
            </w:r>
            <w:r>
              <w:rPr>
                <w:rFonts w:cs="Arial"/>
              </w:rPr>
              <w:t xml:space="preserve"> i wybierania zagadnień?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postępowanie związane z ustalaniem priorytetów</w:t>
            </w:r>
            <w:r>
              <w:rPr>
                <w:rFonts w:cs="Arial"/>
              </w:rPr>
              <w:t xml:space="preserve"> jest jasne i przejrzyste?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Podstawowe zasady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Pytania kontrolne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5.</w:t>
            </w:r>
            <w:r>
              <w:rPr>
                <w:rFonts w:cs="Arial"/>
              </w:rPr>
              <w:t xml:space="preserve"> Ocena HTA powinna korzystać z właściwych metod wyliczania kosztów i korzyści.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bierze pod uwagę </w:t>
            </w:r>
            <w:r>
              <w:rPr>
                <w:b/>
                <w:rFonts w:cs="Arial"/>
              </w:rPr>
              <w:t>koszty</w:t>
            </w:r>
            <w:r>
              <w:rPr>
                <w:rFonts w:cs="Arial"/>
              </w:rPr>
              <w:t xml:space="preserve">, a także </w:t>
            </w:r>
            <w:r>
              <w:rPr>
                <w:b/>
                <w:rFonts w:cs="Arial"/>
              </w:rPr>
              <w:t>korzyści</w:t>
            </w:r>
            <w:r>
              <w:rPr>
                <w:rFonts w:cs="Arial"/>
              </w:rPr>
              <w:t xml:space="preserve"> i </w:t>
            </w:r>
            <w:r>
              <w:rPr>
                <w:b/>
                <w:rFonts w:cs="Arial"/>
              </w:rPr>
              <w:t>szkody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opublikowała </w:t>
            </w:r>
            <w:r>
              <w:rPr>
                <w:b/>
                <w:rFonts w:cs="Arial"/>
              </w:rPr>
              <w:t>metody i wytyczne</w:t>
            </w:r>
            <w:r>
              <w:rPr>
                <w:rFonts w:cs="Arial"/>
              </w:rPr>
              <w:t xml:space="preserve"> dotyczące oceniania korzyści, szkód i kosztów technologii medycznych?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Czy wymaga się</w:t>
            </w:r>
            <w:r>
              <w:rPr>
                <w:b/>
                <w:rFonts w:cs="Arial"/>
              </w:rPr>
              <w:t xml:space="preserve"> pełnego systematycznego przeglądu</w:t>
            </w:r>
            <w:r>
              <w:rPr>
                <w:rFonts w:cs="Arial"/>
              </w:rPr>
              <w:t xml:space="preserve"> dowodów klinicznych jako podstawy modelowania ekonomicznego?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 zespole przeprowadzającym ocenę HTA w imieniu organizacji znajdują się </w:t>
            </w:r>
            <w:r>
              <w:rPr>
                <w:b/>
                <w:rFonts w:cs="Arial"/>
              </w:rPr>
              <w:t>osoby kompetentne</w:t>
            </w:r>
            <w:r>
              <w:rPr>
                <w:rFonts w:cs="Arial"/>
              </w:rPr>
              <w:t xml:space="preserve"> w zakresie epidemiologii/biostatystyki, badań usług ochrony zdrowia i ekonomii?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6.</w:t>
            </w:r>
            <w:r>
              <w:rPr>
                <w:rFonts w:cs="Arial"/>
              </w:rPr>
              <w:t xml:space="preserve"> Oceny HTA powinny uwzględniać szeroki zakres dowodów i wyników.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do </w:t>
            </w:r>
            <w:r>
              <w:rPr>
                <w:b/>
                <w:rFonts w:cs="Arial"/>
              </w:rPr>
              <w:t>odpowiednich dowodów klinicznych</w:t>
            </w:r>
            <w:r>
              <w:rPr>
                <w:rFonts w:cs="Arial"/>
              </w:rPr>
              <w:t xml:space="preserve"> należą badania obserwacyjne i nierandomizowane, a także badania randomizowane z grupą kontrolną?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ocena HTA uwzględnia </w:t>
            </w:r>
            <w:r>
              <w:rPr>
                <w:b/>
                <w:rFonts w:cs="Arial"/>
              </w:rPr>
              <w:t>wpływ na jakość życia</w:t>
            </w:r>
            <w:r>
              <w:rPr>
                <w:rFonts w:cs="Arial"/>
              </w:rPr>
              <w:t xml:space="preserve"> i inne </w:t>
            </w:r>
            <w:r>
              <w:rPr>
                <w:b/>
                <w:rFonts w:cs="Arial"/>
              </w:rPr>
              <w:t>wyniki zgłaszane przez pacjentów</w:t>
            </w:r>
            <w:r>
              <w:rPr>
                <w:rFonts w:cs="Arial"/>
              </w:rPr>
              <w:t>, a także zdarzenia kliniczne?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HTA uwzględnia </w:t>
            </w:r>
            <w:r>
              <w:rPr>
                <w:b/>
                <w:rFonts w:cs="Arial"/>
              </w:rPr>
              <w:t xml:space="preserve">odpowiednie podgrupy </w:t>
            </w:r>
            <w:r>
              <w:rPr>
                <w:rFonts w:cs="Arial"/>
              </w:rPr>
              <w:t>populacji pacjentów (np. wg ryzyka wyjściowego)?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7.</w:t>
            </w:r>
            <w:r>
              <w:rPr>
                <w:rFonts w:cs="Arial"/>
              </w:rPr>
              <w:t xml:space="preserve"> Podczas przeprowadzania oceny HTA należy uwzględnić pełną perspektywę społeczną.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Czy w ocenie HTA uwzględniono jedynie</w:t>
            </w:r>
            <w:r>
              <w:rPr>
                <w:b/>
                <w:rFonts w:cs="Arial"/>
              </w:rPr>
              <w:t xml:space="preserve"> wpływ na specjalny budżet</w:t>
            </w:r>
            <w:r>
              <w:rPr>
                <w:rFonts w:cs="Arial"/>
              </w:rPr>
              <w:t>, np. na leki?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 ocenie HTA uwzględniono </w:t>
            </w:r>
            <w:r>
              <w:rPr>
                <w:b/>
                <w:rFonts w:cs="Arial"/>
              </w:rPr>
              <w:t>wszystkie</w:t>
            </w:r>
            <w:r>
              <w:rPr>
                <w:rFonts w:cs="Arial"/>
              </w:rPr>
              <w:t xml:space="preserve"> </w:t>
            </w:r>
            <w:r>
              <w:rPr>
                <w:b/>
                <w:rFonts w:cs="Arial"/>
              </w:rPr>
              <w:t>koszty opieki zdrowotnej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można uwzględnić </w:t>
            </w:r>
            <w:r>
              <w:rPr>
                <w:b/>
                <w:rFonts w:cs="Arial"/>
              </w:rPr>
              <w:t>inne koszty</w:t>
            </w:r>
            <w:r>
              <w:rPr>
                <w:rFonts w:cs="Arial"/>
              </w:rPr>
              <w:t xml:space="preserve"> w ramach dodatkowych informacji?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tam, gdzie jest to właściwe, uwzględniono </w:t>
            </w:r>
            <w:r>
              <w:rPr>
                <w:b/>
                <w:rFonts w:cs="Arial"/>
              </w:rPr>
              <w:t>zyski i straty produktywności</w:t>
            </w:r>
            <w:r>
              <w:rPr>
                <w:rFonts w:cs="Arial"/>
              </w:rPr>
              <w:t xml:space="preserve"> (takie jak koszty pośrednie i korzyści)?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tam, gdzie jest to właściwe, uwzględniono koszty </w:t>
            </w:r>
            <w:r>
              <w:rPr>
                <w:b/>
                <w:rFonts w:cs="Arial"/>
              </w:rPr>
              <w:t>nieformalnej opieki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koszty związane z </w:t>
            </w:r>
            <w:r>
              <w:rPr>
                <w:b/>
                <w:rFonts w:cs="Arial"/>
              </w:rPr>
              <w:t>dodanymi latami życia</w:t>
            </w:r>
            <w:r>
              <w:rPr>
                <w:rFonts w:cs="Arial"/>
              </w:rPr>
              <w:t xml:space="preserve"> uwzględniono w relacji kosztów do skuteczności 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8.</w:t>
            </w:r>
            <w:r>
              <w:rPr>
                <w:rFonts w:cs="Arial"/>
              </w:rPr>
              <w:t xml:space="preserve"> Oceny HTA powinny jasno przedstawiać niepewności w uwzględnianych oszacowaniach.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ocena HTA uwzględnia </w:t>
            </w:r>
            <w:r>
              <w:rPr>
                <w:b/>
                <w:rFonts w:cs="Arial"/>
              </w:rPr>
              <w:t>analizę wrażliwości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 przypadku głównych oszacowań określono </w:t>
            </w:r>
            <w:r>
              <w:rPr>
                <w:b/>
                <w:rFonts w:cs="Arial"/>
              </w:rPr>
              <w:t>przedziały ufności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główne braki</w:t>
            </w:r>
            <w:r>
              <w:rPr>
                <w:rFonts w:cs="Arial"/>
              </w:rPr>
              <w:t xml:space="preserve"> w dostępnych danych zostały wskazane i omówione?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istniej harmonogram proponowanych </w:t>
            </w:r>
            <w:r>
              <w:rPr>
                <w:b/>
                <w:rFonts w:cs="Arial"/>
              </w:rPr>
              <w:t>przyszłych badań</w:t>
            </w:r>
            <w:r>
              <w:rPr>
                <w:rFonts w:cs="Arial"/>
              </w:rPr>
              <w:t>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9.</w:t>
            </w:r>
            <w:r>
              <w:rPr>
                <w:rFonts w:cs="Arial"/>
              </w:rPr>
              <w:t xml:space="preserve"> Oceny HTA powinny uwzględniać i wyjaśniać kwestie możliwości uogólnienia i przenoszenia.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posiada metody lub wytyczne postępowania w przypadku </w:t>
            </w:r>
            <w:r>
              <w:rPr>
                <w:b/>
                <w:rFonts w:cs="Arial"/>
              </w:rPr>
              <w:t>problemów przenoszenia</w:t>
            </w:r>
            <w:r>
              <w:rPr>
                <w:rFonts w:cs="Arial"/>
              </w:rPr>
              <w:t>, jeśli wykorzystywane są dane lub analizy z innych jurysdykcji?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uwzględnia </w:t>
            </w:r>
            <w:r>
              <w:rPr>
                <w:b/>
                <w:rFonts w:cs="Arial"/>
              </w:rPr>
              <w:t>uogólnianie wyników</w:t>
            </w:r>
            <w:r>
              <w:rPr>
                <w:rFonts w:cs="Arial"/>
              </w:rPr>
              <w:t xml:space="preserve"> swoich badań na inne populacje pacjentów, </w:t>
            </w:r>
            <w:r>
              <w:rPr>
                <w:b/>
                <w:rFonts w:cs="Arial"/>
              </w:rPr>
              <w:t>systemy świadczeń zdrowotnych</w:t>
            </w:r>
            <w:r>
              <w:rPr>
                <w:rFonts w:cs="Arial"/>
              </w:rPr>
              <w:t xml:space="preserve"> lub </w:t>
            </w:r>
            <w:r>
              <w:rPr>
                <w:b/>
                <w:rFonts w:cs="Arial"/>
              </w:rPr>
              <w:t xml:space="preserve">warunki praktyki lekarskiej </w:t>
            </w:r>
            <w:r>
              <w:rPr>
                <w:rFonts w:cs="Arial"/>
              </w:rPr>
              <w:t>właściwe dla danej jurysdykcji?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Podstawowe zasady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Pytania kontrolne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10.</w:t>
            </w:r>
            <w:r>
              <w:rPr>
                <w:rFonts w:cs="Arial"/>
              </w:rPr>
              <w:t xml:space="preserve"> Osoby przeprowadzające oceny HTA powinny aktywnie angażować wszystkie główne grupy interesariuszy (tj. organizacje zawodowe, organizacje pacjentów, producentów).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istnieje wymaganie formalne, aby organizacja HTA </w:t>
            </w:r>
            <w:r>
              <w:rPr>
                <w:b/>
                <w:rFonts w:cs="Arial"/>
              </w:rPr>
              <w:t>angażowała interesariuszy</w:t>
            </w:r>
            <w:r>
              <w:rPr>
                <w:rFonts w:cs="Arial"/>
              </w:rPr>
              <w:t xml:space="preserve"> w swoje działania?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uwzględnia interesariuszy podczas </w:t>
            </w:r>
            <w:r>
              <w:rPr>
                <w:b/>
                <w:rFonts w:cs="Arial"/>
              </w:rPr>
              <w:t>tworzenia (opisywania działań podczas sporządzania) ocen HTA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posiada mechanizmy identyfikowania </w:t>
            </w:r>
            <w:r>
              <w:rPr>
                <w:b/>
                <w:rFonts w:cs="Arial"/>
              </w:rPr>
              <w:t>odpowiednich interesariuszy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zachęca do </w:t>
            </w:r>
            <w:r>
              <w:rPr>
                <w:b/>
                <w:rFonts w:cs="Arial"/>
              </w:rPr>
              <w:t>przedstawienia dowodów</w:t>
            </w:r>
            <w:r>
              <w:rPr>
                <w:rFonts w:cs="Arial"/>
              </w:rPr>
              <w:t xml:space="preserve"> przez interesariuszy (lub wymaga tego)?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</w:t>
            </w:r>
            <w:r>
              <w:rPr>
                <w:b/>
                <w:rFonts w:cs="Arial"/>
              </w:rPr>
              <w:t>umożliwia interesariuszom komentowanie</w:t>
            </w:r>
            <w:r>
              <w:rPr>
                <w:rFonts w:cs="Arial"/>
              </w:rPr>
              <w:t xml:space="preserve"> raportów na etapie roboczym?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</w:t>
            </w:r>
            <w:r>
              <w:rPr>
                <w:b/>
                <w:rFonts w:cs="Arial"/>
              </w:rPr>
              <w:t xml:space="preserve">umożliwia interesariuszom odwoływanie się </w:t>
            </w:r>
            <w:r>
              <w:rPr>
                <w:rFonts w:cs="Arial"/>
              </w:rPr>
              <w:t>od rekomendacji i decyzji?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w komisjach organizacji uwzględniono </w:t>
            </w:r>
            <w:r>
              <w:rPr>
                <w:b/>
                <w:rFonts w:cs="Arial"/>
              </w:rPr>
              <w:t>przedstawicieli interesariuszy</w:t>
            </w:r>
            <w:r>
              <w:rPr>
                <w:rFonts w:cs="Arial"/>
              </w:rPr>
              <w:t xml:space="preserve"> (np. grupy pacjentów, producentów technologii, specjalistów klinicznych)?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11.</w:t>
            </w:r>
            <w:r>
              <w:rPr>
                <w:rFonts w:cs="Arial"/>
              </w:rPr>
              <w:t xml:space="preserve"> Osoby przeprowadzające ocenę HTA powinny aktywnie poszukiwać wszystkich dostępnych danych.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systematyczny przegląd dowodów klinicznych uwzględnia </w:t>
            </w:r>
            <w:r>
              <w:rPr>
                <w:b/>
                <w:rFonts w:cs="Arial"/>
              </w:rPr>
              <w:t>szarą literaturę</w:t>
            </w:r>
            <w:r>
              <w:rPr>
                <w:rFonts w:cs="Arial"/>
              </w:rPr>
              <w:t xml:space="preserve"> (niepublikowaną oficjalnie literaturę akademicką) i inne </w:t>
            </w:r>
            <w:r>
              <w:rPr>
                <w:b/>
                <w:rFonts w:cs="Arial"/>
              </w:rPr>
              <w:t>niepublikowane dane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ma procesy </w:t>
            </w:r>
            <w:r>
              <w:rPr>
                <w:b/>
                <w:rFonts w:cs="Arial"/>
              </w:rPr>
              <w:t>do obsługi poufnych danych</w:t>
            </w:r>
            <w:r>
              <w:rPr>
                <w:rFonts w:cs="Arial"/>
              </w:rPr>
              <w:t xml:space="preserve"> od producentów?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12.</w:t>
            </w:r>
            <w:r>
              <w:rPr>
                <w:rFonts w:cs="Arial"/>
              </w:rPr>
              <w:t xml:space="preserve"> Implementacja wyników HTA musi być monitorowana.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opracowuje </w:t>
            </w:r>
            <w:r>
              <w:rPr>
                <w:b/>
                <w:rFonts w:cs="Arial"/>
              </w:rPr>
              <w:t>plan implementacji</w:t>
            </w:r>
            <w:r>
              <w:rPr>
                <w:rFonts w:cs="Arial"/>
              </w:rPr>
              <w:t xml:space="preserve"> swoich ocen HTA?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</w:t>
            </w:r>
            <w:r>
              <w:rPr>
                <w:b/>
                <w:rFonts w:cs="Arial"/>
              </w:rPr>
              <w:t>monitoruje oddziaływanie</w:t>
            </w:r>
            <w:r>
              <w:rPr>
                <w:rFonts w:cs="Arial"/>
              </w:rPr>
              <w:t xml:space="preserve"> swoich rekomendacji?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13.</w:t>
            </w:r>
            <w:r>
              <w:rPr>
                <w:rFonts w:cs="Arial"/>
              </w:rPr>
              <w:t xml:space="preserve"> Oceny HTA powinny być dostarczane terminowo.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ma </w:t>
            </w:r>
            <w:r>
              <w:rPr>
                <w:b/>
                <w:rFonts w:cs="Arial"/>
              </w:rPr>
              <w:t>zdefiniowany okres</w:t>
            </w:r>
            <w:r>
              <w:rPr>
                <w:rFonts w:cs="Arial"/>
              </w:rPr>
              <w:t xml:space="preserve"> na przeprowadzenie ocen HTA i wydanie rekomendacji?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przestrzega </w:t>
            </w:r>
            <w:r>
              <w:rPr>
                <w:b/>
                <w:rFonts w:cs="Arial"/>
              </w:rPr>
              <w:t>uzgodnionych terminów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opracowała mechanizm </w:t>
            </w:r>
            <w:r>
              <w:rPr>
                <w:b/>
                <w:rFonts w:cs="Arial"/>
              </w:rPr>
              <w:t>aktualizacji</w:t>
            </w:r>
            <w:r>
              <w:rPr>
                <w:rFonts w:cs="Arial"/>
              </w:rPr>
              <w:t xml:space="preserve"> swoich ocen HTA i rekomendacji w danym okresie?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Podstawowe zasady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Pytania kontrolne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14.</w:t>
            </w:r>
            <w:r>
              <w:rPr>
                <w:rFonts w:cs="Arial"/>
              </w:rPr>
              <w:t xml:space="preserve"> Wyniki ocen HTA muszą zostać właściwie przekazane osobom podejmującym decyzje.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HTA opracowuje </w:t>
            </w:r>
            <w:r>
              <w:rPr>
                <w:b/>
                <w:rFonts w:cs="Arial"/>
              </w:rPr>
              <w:t xml:space="preserve">plan komunikowania </w:t>
            </w:r>
            <w:r>
              <w:rPr>
                <w:rFonts w:cs="Arial"/>
              </w:rPr>
              <w:t>swoich rekomendacji i decyzji?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dla różnych odbiorców (np. lekarzy, osób decyzyjnych, ogółu odbiorców) są tworzone </w:t>
            </w:r>
            <w:r>
              <w:rPr>
                <w:b/>
                <w:rFonts w:cs="Arial"/>
              </w:rPr>
              <w:t>oddzielne wersje</w:t>
            </w:r>
            <w:r>
              <w:rPr>
                <w:rFonts w:cs="Arial"/>
              </w:rPr>
              <w:t xml:space="preserve"> raportów?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</w:t>
            </w:r>
            <w:r>
              <w:rPr>
                <w:b/>
                <w:rFonts w:cs="Arial"/>
              </w:rPr>
              <w:t>skuteczność komunikacji jest</w:t>
            </w:r>
            <w:r>
              <w:rPr>
                <w:rFonts w:cs="Arial"/>
              </w:rPr>
              <w:t xml:space="preserve"> monitorowana i oceniana?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Zasada 15.</w:t>
            </w:r>
            <w:r>
              <w:rPr>
                <w:rFonts w:cs="Arial"/>
              </w:rPr>
              <w:t xml:space="preserve"> Związek między wynikami HTA i procesem podejmowania decyzji musi być przejrzysty i jasno zdefiniowany.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</w:t>
            </w:r>
            <w:r>
              <w:rPr>
                <w:b/>
                <w:rFonts w:cs="Arial"/>
              </w:rPr>
              <w:t>rozróżnia</w:t>
            </w:r>
            <w:r>
              <w:rPr>
                <w:rFonts w:cs="Arial"/>
              </w:rPr>
              <w:t xml:space="preserve"> naukową ocenę dowodu od decyzji dotyczącej oceny?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stosuje </w:t>
            </w:r>
            <w:r>
              <w:rPr>
                <w:b/>
                <w:rFonts w:cs="Arial"/>
              </w:rPr>
              <w:t xml:space="preserve">jawną regułę decyzyjną </w:t>
            </w:r>
            <w:r>
              <w:rPr>
                <w:rFonts w:cs="Arial"/>
              </w:rPr>
              <w:t>dotyczącą akceptacji/nieakceptacji technologii medycznych?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organizacja stosuje </w:t>
            </w:r>
            <w:r>
              <w:rPr>
                <w:b/>
                <w:rFonts w:cs="Arial"/>
              </w:rPr>
              <w:t>przejrzyste metody</w:t>
            </w:r>
            <w:r>
              <w:rPr>
                <w:rFonts w:cs="Arial"/>
              </w:rPr>
              <w:t xml:space="preserve"> oceny znaczenia różnych kwestii (np. opłacalności, wartości)?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agencja rekomenduje lub obsługuje warunkowy zwrot kosztów/specjalną ochronę w przypadku </w:t>
            </w:r>
            <w:r>
              <w:rPr>
                <w:b/>
                <w:rFonts w:cs="Arial"/>
              </w:rPr>
              <w:t>uczestnictwa w rozwoju badań klinicznych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Czy podejmując decyzje, organizacja </w:t>
            </w:r>
            <w:r>
              <w:rPr>
                <w:b/>
                <w:rFonts w:cs="Arial"/>
              </w:rPr>
              <w:t>rozróżnia możliwe do zidentyfikowania podgrupy</w:t>
            </w:r>
            <w:r>
              <w:rPr>
                <w:rFonts w:cs="Arial"/>
              </w:rPr>
              <w:t xml:space="preserve"> populacje pacjentów?</w:t>
            </w:r>
          </w:p>
        </w:tc>
      </w:tr>
    </w:tbl>
    <w:p w:rsidR="003C5FBA" w:rsidRDefault="003C5FBA" w:rsidP="00B54520">
      <w:pPr>
        <w:rPr>
          <w:rFonts w:cs="Arial"/>
        </w:rPr>
      </w:pPr>
    </w:p>
    <w:p w:rsidR="00DD7263" w:rsidRDefault="00DD7263" w:rsidP="00B54520">
      <w:pPr>
        <w:rPr>
          <w:rFonts w:cs="Arial"/>
        </w:rPr>
      </w:pPr>
    </w:p>
    <w:p w:rsidR="00DD7263" w:rsidRPr="00005594" w:rsidRDefault="00DD7263" w:rsidP="00B54520">
      <w:pPr>
        <w:rPr>
          <w:rFonts w:cs="Arial"/>
        </w:rPr>
      </w:pPr>
      <w:r>
        <w:rPr>
          <w:rFonts w:cs="Arial"/>
        </w:rPr>
        <w:t xml:space="preserve">Na podstawie: Drummond, M.,Neumann, P., Jönsson,B., et al. (2012). ‘Can We Reliably Benchmark Health Technology Assessment Organizations?’ </w:t>
      </w:r>
      <w:r>
        <w:rPr>
          <w:i/>
          <w:rFonts w:cs="Arial"/>
        </w:rPr>
        <w:t>International Journal of Technology Assessment in Health Care</w:t>
      </w:r>
      <w:r>
        <w:rPr>
          <w:rFonts w:cs="Arial"/>
        </w:rPr>
        <w:t>, 28(2), 159-165. http://dx.doi.org/10.1017/S0266462312000098</w:t>
      </w:r>
    </w:p>
    <w:sectPr w:rsidR="00DD7263" w:rsidRPr="00005594" w:rsidSect="008F149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53" w:rsidRDefault="00315853" w:rsidP="00B54520">
      <w:r>
        <w:separator/>
      </w:r>
    </w:p>
  </w:endnote>
  <w:endnote w:type="continuationSeparator" w:id="0">
    <w:p w:rsidR="00315853" w:rsidRDefault="00315853" w:rsidP="00B54520">
      <w:r>
        <w:continuationSeparator/>
      </w:r>
    </w:p>
  </w:endnote>
  <w:endnote w:type="continuationNotice" w:id="1">
    <w:p w:rsidR="00315853" w:rsidRDefault="00315853" w:rsidP="00B54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B54520">
        <w:pPr>
          <w:pStyle w:val="Footer"/>
        </w:pPr>
        <w:r>
          <w:drawing>
            <wp:anchor distT="0" distB="0" distL="114300" distR="114300" simplePos="0" relativeHeight="251663360" behindDoc="0" locked="0" layoutInCell="1" allowOverlap="1" wp14:anchorId="195D74F8" wp14:editId="315D0AC9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6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BD5560">
          <w:instrText xml:space="preserve"> PAGE   \* MERGEFORMAT </w:instrText>
        </w:r>
        <w:r w:rsidR="00BD5560">
          <w:fldChar w:fldCharType="separate"/>
        </w:r>
        <w:r w:rsidR="00B4469B">
          <w:rPr>
            <w:noProof/>
          </w:rPr>
          <w:t>4</w:t>
        </w:r>
        <w:r>
          <w:fldChar w:fldCharType="end"/>
        </w:r>
        <w:r>
          <w:tab/>
          <w:tab/>
          <w:t xml:space="preserve"> 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PAGE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  <w:r>
          <w:rPr>
            <w:b/>
            <w:bCs/>
          </w:rPr>
          <w:t>/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NUMPAGES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53" w:rsidRDefault="00315853" w:rsidP="00B54520">
      <w:r>
        <w:separator/>
      </w:r>
    </w:p>
  </w:footnote>
  <w:footnote w:type="continuationSeparator" w:id="0">
    <w:p w:rsidR="00315853" w:rsidRDefault="00315853" w:rsidP="00B54520">
      <w:r>
        <w:continuationSeparator/>
      </w:r>
    </w:p>
  </w:footnote>
  <w:footnote w:type="continuationNotice" w:id="1">
    <w:p w:rsidR="00315853" w:rsidRDefault="00315853" w:rsidP="00B54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35" w:rsidRDefault="002E7650" w:rsidP="00B54520">
    <w:pPr>
      <w:pStyle w:val="Head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441325</wp:posOffset>
              </wp:positionV>
              <wp:extent cx="1388745" cy="2419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139" w:rsidRPr="00047E36" w:rsidRDefault="00ED1139" w:rsidP="00B54520">
                          <w:pPr>
                            <w:pStyle w:val="Footer"/>
                          </w:pPr>
                          <w:r>
                            <w:t>http://www.eupati.eu</w:t>
                          </w:r>
                        </w:p>
                        <w:p w:rsidR="00ED1139" w:rsidRDefault="00ED1139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pt;margin-top:34.75pt;width:109.3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T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ksxJjFEFtoiE6bU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" filled="f" stroked="f">
              <v:textbox>
                <w:txbxContent>
                  <w:p w:rsidR="00ED1139" w:rsidRPr="00047E36" w:rsidRDefault="00ED1139" w:rsidP="00B54520">
                    <w:pPr>
                      <w:pStyle w:val="Footer"/>
                    </w:pPr>
                    <w:r>
                      <w:t>http://www.eupati.eu</w:t>
                    </w:r>
                  </w:p>
                  <w:p w:rsidR="00ED1139" w:rsidRDefault="00ED1139" w:rsidP="00B54520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20955</wp:posOffset>
              </wp:positionV>
              <wp:extent cx="2339340" cy="46799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9B" w:rsidRPr="00ED1139" w:rsidRDefault="00FA019B" w:rsidP="00B54520">
                          <w:pPr>
                            <w:rPr>
                              <w:color w:val="551A8B"/>
                              <w:lang w:val="en-IE"/>
                            </w:rPr>
                          </w:pPr>
                          <w:r>
                            <w:t>Europejska</w:t>
                          </w:r>
                          <w:r>
                            <w:rPr>
                              <w:color w:val="551A8B"/>
                            </w:rPr>
                            <w:t xml:space="preserve"> </w:t>
                          </w:r>
                          <w:r>
                            <w:rPr>
                              <w:color w:val="022F68"/>
                            </w:rPr>
                            <w:t>Akademia Pacjentów</w:t>
                          </w:r>
                          <w:r>
                            <w:rPr>
                              <w:color w:val="551A8B"/>
                            </w:rPr>
                            <w:t xml:space="preserve"> </w:t>
                          </w:r>
                          <w:r>
                            <w:t>w obszarze innowacyjnych terapii</w:t>
                          </w:r>
                        </w:p>
                        <w:p w:rsidR="00FA019B" w:rsidRPr="00ED1139" w:rsidRDefault="00FA019B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4pt;margin-top:1.65pt;width:184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5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" filled="f" stroked="f">
              <v:textbox>
                <w:txbxContent>
                  <w:p w:rsidR="00FA019B" w:rsidRPr="00ED1139" w:rsidRDefault="00FA019B" w:rsidP="00B54520">
                    <w:pPr>
                      <w:rPr>
                        <w:color w:val="551A8B"/>
                        <w:lang w:val="en-IE"/>
                      </w:rPr>
                    </w:pPr>
                    <w:r>
                      <w:t>Europejska</w:t>
                    </w:r>
                    <w:r>
                      <w:rPr>
                        <w:color w:val="551A8B"/>
                      </w:rPr>
                      <w:t xml:space="preserve"> </w:t>
                    </w:r>
                    <w:r>
                      <w:rPr>
                        <w:color w:val="022F68"/>
                      </w:rPr>
                      <w:t>Akademia Pacjentów</w:t>
                    </w:r>
                    <w:r>
                      <w:rPr>
                        <w:color w:val="551A8B"/>
                      </w:rPr>
                      <w:t xml:space="preserve"> </w:t>
                    </w:r>
                    <w:r>
                      <w:t>w obszarze innowacyjnych terapii</w:t>
                    </w:r>
                  </w:p>
                  <w:p w:rsidR="00FA019B" w:rsidRPr="00ED1139" w:rsidRDefault="00FA019B" w:rsidP="00B54520"/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57238" cy="589658"/>
          <wp:effectExtent l="19050" t="0" r="0" b="0"/>
          <wp:docPr id="7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ab/>
      <w:tab/>
    </w:r>
  </w:p>
  <w:p w:rsidR="00047E36" w:rsidRDefault="00047E36" w:rsidP="00B54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CFD"/>
    <w:multiLevelType w:val="hybridMultilevel"/>
    <w:tmpl w:val="94888DAE"/>
    <w:lvl w:ilvl="0" w:tplc="184EE3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A"/>
    <w:rsid w:val="00000666"/>
    <w:rsid w:val="00005594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939CF"/>
    <w:rsid w:val="000A2B24"/>
    <w:rsid w:val="000C357F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E7650"/>
    <w:rsid w:val="002F27F8"/>
    <w:rsid w:val="00315853"/>
    <w:rsid w:val="0033333B"/>
    <w:rsid w:val="003430FB"/>
    <w:rsid w:val="003440FF"/>
    <w:rsid w:val="00396DFD"/>
    <w:rsid w:val="003B2377"/>
    <w:rsid w:val="003C5FBA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1C26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6477"/>
    <w:rsid w:val="006F4AD1"/>
    <w:rsid w:val="00701A73"/>
    <w:rsid w:val="00737119"/>
    <w:rsid w:val="00757ACA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659DE"/>
    <w:rsid w:val="00A95B70"/>
    <w:rsid w:val="00AA25FD"/>
    <w:rsid w:val="00AA6ACC"/>
    <w:rsid w:val="00AA6BFA"/>
    <w:rsid w:val="00AE517C"/>
    <w:rsid w:val="00AF1AD7"/>
    <w:rsid w:val="00AF4BBC"/>
    <w:rsid w:val="00B22CC3"/>
    <w:rsid w:val="00B26228"/>
    <w:rsid w:val="00B27E46"/>
    <w:rsid w:val="00B4469B"/>
    <w:rsid w:val="00B54520"/>
    <w:rsid w:val="00B631C2"/>
    <w:rsid w:val="00B72BDB"/>
    <w:rsid w:val="00BA5D8F"/>
    <w:rsid w:val="00BC194A"/>
    <w:rsid w:val="00BC767C"/>
    <w:rsid w:val="00BD5560"/>
    <w:rsid w:val="00BE0FEC"/>
    <w:rsid w:val="00BE669A"/>
    <w:rsid w:val="00C130C1"/>
    <w:rsid w:val="00C2703B"/>
    <w:rsid w:val="00C46A74"/>
    <w:rsid w:val="00C51DA5"/>
    <w:rsid w:val="00C53246"/>
    <w:rsid w:val="00C650B0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D7263"/>
    <w:rsid w:val="00DE69E3"/>
    <w:rsid w:val="00DE7632"/>
    <w:rsid w:val="00DF4245"/>
    <w:rsid w:val="00DF51A0"/>
    <w:rsid w:val="00E0121C"/>
    <w:rsid w:val="00E04C9C"/>
    <w:rsid w:val="00E22ACC"/>
    <w:rsid w:val="00E51659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02D88B4-16C2-444B-A6E6-332CCF2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0"/>
    <w:pPr>
      <w:spacing w:line="276" w:lineRule="auto"/>
      <w:contextualSpacing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4520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520"/>
    <w:pPr>
      <w:spacing w:before="120" w:after="12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20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20"/>
    <w:pPr>
      <w:numPr>
        <w:numId w:val="11"/>
      </w:numPr>
      <w:spacing w:before="120" w:after="120"/>
    </w:pPr>
    <w:rPr>
      <w:rFonts w:eastAsia="Calibri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4520"/>
    <w:rPr>
      <w:rFonts w:ascii="Arial" w:hAnsi="Arial"/>
      <w:b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54520"/>
    <w:pPr>
      <w:spacing w:before="120" w:after="120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4520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4520"/>
    <w:rPr>
      <w:rFonts w:ascii="Arial" w:hAnsi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452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z\Documents\Templates\Toolbox-Fact-sheet-template-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366A-E467-4AE0-AB8F-28D2A0D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Toolbox-Fact-sheet-template-1.2.dotx</Template>
  <TotalTime>42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Heidi Scherz</cp:lastModifiedBy>
  <cp:revision>6</cp:revision>
  <cp:lastPrinted>2014-10-24T13:00:00Z</cp:lastPrinted>
  <dcterms:created xsi:type="dcterms:W3CDTF">2015-11-20T09:22:00Z</dcterms:created>
  <dcterms:modified xsi:type="dcterms:W3CDTF">2015-11-20T15:07:00Z</dcterms:modified>
</cp:coreProperties>
</file>