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9" w:rsidRPr="00005594" w:rsidRDefault="00ED1139" w:rsidP="00B54520">
      <w:pPr>
        <w:pStyle w:val="Title"/>
        <w:rPr>
          <w:rFonts w:cs="Arial"/>
        </w:rPr>
      </w:pPr>
      <w:r>
        <w:rPr>
          <w:rFonts w:cs="Arial"/>
        </w:rPr>
        <w:t>Datenblatt: Grundsätze und Fragestellungen für den Leistungsvergleich von HTA-Gremien</w:t>
      </w:r>
      <w:bookmarkStart w:id="0" w:name="_GoBack"/>
      <w:bookmarkEnd w:id="0"/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3C5FBA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Grundsätze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0939CF" w:rsidP="003C5FBA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Fragen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1.</w:t>
            </w:r>
            <w:r>
              <w:rPr>
                <w:rFonts w:cs="Arial"/>
              </w:rPr>
              <w:t xml:space="preserve"> Das Ziel und der Aufgabenbereich der HTA sollten explizit und für ihre Anwendung von Relevanz sein.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Ist der </w:t>
            </w:r>
            <w:r>
              <w:rPr>
                <w:b/>
                <w:rFonts w:cs="Arial"/>
              </w:rPr>
              <w:t>Aufgabenbereich</w:t>
            </w:r>
            <w:r>
              <w:rPr>
                <w:rFonts w:cs="Arial"/>
              </w:rPr>
              <w:t xml:space="preserve"> der HTA-Organisation klar definiert?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Wurde vor einer HTA ein </w:t>
            </w:r>
            <w:r>
              <w:rPr>
                <w:b/>
                <w:rFonts w:cs="Arial"/>
              </w:rPr>
              <w:t>initiales (den Umfang definierendes) Dokument</w:t>
            </w:r>
            <w:r>
              <w:rPr>
                <w:rFonts w:cs="Arial"/>
              </w:rPr>
              <w:t xml:space="preserve"> entworfen, das Informationen zu dem spezifischen zu behandelnden Entscheidungsproblem, den zu berücksichtigenden relevanten Patientenpopulationen, der zu betrachtenden Intervention, den relevanten Alternativen (Vergleichsintervention) und den zu beurteilenden Zielgrößen enthält (PICOs)?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i/>
                <w:rFonts w:cs="Arial"/>
              </w:rPr>
              <w:t>PICOs = Problem/Patientenpopulation (P) – Intervention (I) – Comparison (C) – Outcome(s) (O)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2.</w:t>
            </w:r>
            <w:r>
              <w:rPr>
                <w:rFonts w:cs="Arial"/>
              </w:rPr>
              <w:t xml:space="preserve"> HTA sollte eine transparente und von Verzerrungen unbelastete Angelegenheit sein.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Ist die HTA-Organisation von der die Erstattungs-/Kostenübernahme-Entscheidung treffenden Stelle </w:t>
            </w:r>
            <w:r>
              <w:rPr>
                <w:b/>
                <w:rFonts w:cs="Arial"/>
              </w:rPr>
              <w:t>unabhängig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Werden die Empfehlungen der HTA-Organisation von einem </w:t>
            </w:r>
            <w:r>
              <w:rPr>
                <w:b/>
                <w:rFonts w:cs="Arial"/>
              </w:rPr>
              <w:t>unabhängigen Fachbeirat</w:t>
            </w:r>
            <w:r>
              <w:rPr>
                <w:rFonts w:cs="Arial"/>
              </w:rPr>
              <w:t xml:space="preserve"> erstellt?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Werden etwaige </w:t>
            </w:r>
            <w:r>
              <w:rPr>
                <w:b/>
                <w:rFonts w:cs="Arial"/>
              </w:rPr>
              <w:t>Interessenkonflikte</w:t>
            </w:r>
            <w:r>
              <w:rPr>
                <w:rFonts w:cs="Arial"/>
              </w:rPr>
              <w:t xml:space="preserve"> der Mitglieder des Fachbeirats dokumentiert und öffentlich gemacht?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Finden die </w:t>
            </w:r>
            <w:r>
              <w:rPr>
                <w:b/>
                <w:rFonts w:cs="Arial"/>
              </w:rPr>
              <w:t>Besprechungen</w:t>
            </w:r>
            <w:r>
              <w:rPr>
                <w:rFonts w:cs="Arial"/>
              </w:rPr>
              <w:t xml:space="preserve"> des Fachbeirats öffentlich statt?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Werden die unterstützenden Informationen und die Grundlagen für die getroffenen Empfehlungen </w:t>
            </w:r>
            <w:r>
              <w:rPr>
                <w:b/>
                <w:rFonts w:cs="Arial"/>
              </w:rPr>
              <w:t>öffentlich verfügbar</w:t>
            </w:r>
            <w:r>
              <w:rPr>
                <w:rFonts w:cs="Arial"/>
              </w:rPr>
              <w:t xml:space="preserve"> gemacht?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Beauftragt die Organisation normalerweise </w:t>
            </w:r>
            <w:r>
              <w:rPr>
                <w:b/>
                <w:rFonts w:cs="Arial"/>
              </w:rPr>
              <w:t>externe Gruppen</w:t>
            </w:r>
            <w:r>
              <w:rPr>
                <w:rFonts w:cs="Arial"/>
              </w:rPr>
              <w:t xml:space="preserve"> mit der Durchführung der HTA?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Werden die erstellten Berichte vor der endgültigen Entscheidung einem </w:t>
            </w:r>
            <w:r>
              <w:rPr>
                <w:b/>
                <w:rFonts w:cs="Arial"/>
              </w:rPr>
              <w:t xml:space="preserve">unabhängigen Peer-Review </w:t>
            </w:r>
            <w:r>
              <w:rPr>
                <w:rFonts w:cs="Arial"/>
              </w:rPr>
              <w:t>unterzogen?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Sind die Entscheidungsentwürfe </w:t>
            </w:r>
            <w:r>
              <w:rPr>
                <w:b/>
                <w:rFonts w:cs="Arial"/>
              </w:rPr>
              <w:t>Gegenstand einer Überprüfung</w:t>
            </w:r>
            <w:r>
              <w:rPr>
                <w:rFonts w:cs="Arial"/>
              </w:rPr>
              <w:t xml:space="preserve"> durch Interessengruppen und die Öffentlichkeit, und werden die Überlegungen öffentlich gemacht, die endgültigen Entscheidungen zu strittigen Fragen zugrundeliegen?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3.</w:t>
            </w:r>
            <w:r>
              <w:rPr>
                <w:rFonts w:cs="Arial"/>
              </w:rPr>
              <w:t xml:space="preserve"> HTAs sollten alle relevanten Technologien umfassen.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Werden </w:t>
            </w:r>
            <w:r>
              <w:rPr>
                <w:b/>
                <w:rFonts w:cs="Arial"/>
              </w:rPr>
              <w:t>alle Arten von Technologien</w:t>
            </w:r>
            <w:r>
              <w:rPr>
                <w:rFonts w:cs="Arial"/>
              </w:rPr>
              <w:t xml:space="preserve"> (z. B. Arzneimittel, Geräte, Diagnoseverfahren, Eingriffe, Verhaltensmodifikation) berücksichtigt?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Finden innerhalb der einzelnen Kategorien </w:t>
            </w:r>
            <w:r>
              <w:rPr>
                <w:b/>
                <w:rFonts w:cs="Arial"/>
              </w:rPr>
              <w:t>sowohl neue als auch herkömmliche Technologien</w:t>
            </w:r>
            <w:r>
              <w:rPr>
                <w:rFonts w:cs="Arial"/>
              </w:rPr>
              <w:t xml:space="preserve"> Berücksichtigung?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Werden bei der Beurteilung neuer Technologien </w:t>
            </w:r>
            <w:r>
              <w:rPr>
                <w:b/>
                <w:rFonts w:cs="Arial"/>
              </w:rPr>
              <w:t>alle relevanten Alternativen</w:t>
            </w:r>
            <w:r>
              <w:rPr>
                <w:rFonts w:cs="Arial"/>
              </w:rPr>
              <w:t xml:space="preserve"> berücksichtigt?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4.</w:t>
            </w:r>
            <w:r>
              <w:rPr>
                <w:rFonts w:cs="Arial"/>
              </w:rPr>
              <w:t xml:space="preserve"> Es sollte ein klares System für die Festlegung der Prioritäten für die HTA existieren.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Besteht ein formales System für die </w:t>
            </w:r>
            <w:r>
              <w:rPr>
                <w:b/>
                <w:rFonts w:cs="Arial"/>
              </w:rPr>
              <w:t>Priorisierung</w:t>
            </w:r>
            <w:r>
              <w:rPr>
                <w:rFonts w:cs="Arial"/>
              </w:rPr>
              <w:t xml:space="preserve"> und Auswahl von Themen?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Ist der </w:t>
            </w:r>
            <w:r>
              <w:rPr>
                <w:b/>
                <w:rFonts w:cs="Arial"/>
              </w:rPr>
              <w:t>Ansatz für die Festlegung der Prioritäten</w:t>
            </w:r>
            <w:r>
              <w:rPr>
                <w:rFonts w:cs="Arial"/>
              </w:rPr>
              <w:t xml:space="preserve"> klar und transparent?</w:t>
            </w:r>
          </w:p>
        </w:tc>
      </w:tr>
    </w:tbl>
    <w:p w:rsidR="003C5FBA" w:rsidRPr="00005594" w:rsidRDefault="003C5FBA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Grundsätze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Audit-Fragen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5.</w:t>
            </w:r>
            <w:r>
              <w:rPr>
                <w:rFonts w:cs="Arial"/>
              </w:rPr>
              <w:t xml:space="preserve"> HTAs sollten angemessene Methoden für die Beurteilung der Kosten und der Nutzen anwenden.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Berücksichtigt die HTA-Organisation </w:t>
            </w:r>
            <w:r>
              <w:rPr>
                <w:b/>
                <w:rFonts w:cs="Arial"/>
              </w:rPr>
              <w:t>Kosten</w:t>
            </w:r>
            <w:r>
              <w:rPr>
                <w:rFonts w:cs="Arial"/>
              </w:rPr>
              <w:t xml:space="preserve"> in gleicher Weise wie </w:t>
            </w:r>
            <w:r>
              <w:rPr>
                <w:b/>
                <w:rFonts w:cs="Arial"/>
              </w:rPr>
              <w:t>Nutzen</w:t>
            </w:r>
            <w:r>
              <w:rPr>
                <w:rFonts w:cs="Arial"/>
              </w:rPr>
              <w:t xml:space="preserve"> und </w:t>
            </w:r>
            <w:r>
              <w:rPr>
                <w:b/>
                <w:rFonts w:cs="Arial"/>
              </w:rPr>
              <w:t>Risiken</w:t>
            </w:r>
            <w: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Hat die HTA-Organisation </w:t>
            </w:r>
            <w:r>
              <w:rPr>
                <w:b/>
                <w:rFonts w:cs="Arial"/>
              </w:rPr>
              <w:t>Methoden oder Leitlinien</w:t>
            </w:r>
            <w:r>
              <w:rPr>
                <w:rFonts w:cs="Arial"/>
              </w:rPr>
              <w:t xml:space="preserve"> für die Beurteilung der Nutzen, Risiken und Kosten von Gesundheitstechnologien veröffentlicht?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Ist als Grundlage für die wirtschaftliche Modellierung eine </w:t>
            </w:r>
            <w:r>
              <w:rPr>
                <w:b/>
                <w:rFonts w:cs="Arial"/>
              </w:rPr>
              <w:t>vollständige systematische Durchsicht</w:t>
            </w:r>
            <w:r>
              <w:rPr>
                <w:rFonts w:cs="Arial"/>
              </w:rPr>
              <w:t xml:space="preserve"> der klinischen Evidenz erforderlich?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Umfasst das Team, das im Auftrag der Organisation HTAs durchführt, </w:t>
            </w:r>
            <w:r>
              <w:rPr>
                <w:b/>
                <w:rFonts w:cs="Arial"/>
              </w:rPr>
              <w:t>Personen mit Fähigkeiten/Fertigkeiten</w:t>
            </w:r>
            <w:r>
              <w:rPr>
                <w:rFonts w:cs="Arial"/>
              </w:rPr>
              <w:t xml:space="preserve"> auf den Gebieten Epidemiologie/Biostatistik, Versorgungsforschung und Wirtschaft?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6.</w:t>
            </w:r>
            <w:r>
              <w:rPr>
                <w:rFonts w:cs="Arial"/>
              </w:rPr>
              <w:t xml:space="preserve"> HTAs sollten eine breite Palette von Evidenz und Zielgrößen berücksichtigen.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Umfasst die </w:t>
            </w:r>
            <w:r>
              <w:rPr>
                <w:b/>
                <w:rFonts w:cs="Arial"/>
              </w:rPr>
              <w:t>relevante klinische Evidenz</w:t>
            </w:r>
            <w:r>
              <w:rPr>
                <w:rFonts w:cs="Arial"/>
              </w:rPr>
              <w:t xml:space="preserve"> Beobachtungs- und nicht randomisierte Studien ebenso wie randomisierte kontrollierte Studien?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Berücksichtigt die HTA </w:t>
            </w:r>
            <w:r>
              <w:rPr>
                <w:b/>
                <w:rFonts w:cs="Arial"/>
              </w:rPr>
              <w:t>Auswirkungen auf die Lebensqualität</w:t>
            </w:r>
            <w:r>
              <w:rPr>
                <w:rFonts w:cs="Arial"/>
              </w:rPr>
              <w:t xml:space="preserve"> und andere </w:t>
            </w:r>
            <w:r>
              <w:rPr>
                <w:b/>
                <w:rFonts w:cs="Arial"/>
              </w:rPr>
              <w:t>durch den Patienten berichtete Zielgrößen</w:t>
            </w:r>
            <w:r>
              <w:rPr>
                <w:rFonts w:cs="Arial"/>
              </w:rPr>
              <w:t xml:space="preserve"> in gleicher Weise wie klinische Ereignisse?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Berücksichtigt die HTA </w:t>
            </w:r>
            <w:r>
              <w:rPr>
                <w:b/>
                <w:rFonts w:cs="Arial"/>
              </w:rPr>
              <w:t>relevante Untergruppen</w:t>
            </w:r>
            <w:r>
              <w:rPr>
                <w:rFonts w:cs="Arial"/>
              </w:rPr>
              <w:t xml:space="preserve"> der Patientenpopulation (z. B. stratifiziert nach dem Risiko in der Ausgangssituation)?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7.</w:t>
            </w:r>
            <w:r>
              <w:rPr>
                <w:rFonts w:cs="Arial"/>
              </w:rPr>
              <w:t xml:space="preserve"> Bei der Durchführung von HTAs sollte eine umfassende gesellschaftliche Perspektive berücksichtigt werden.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Berücksichtigt die HTA ausschließlich die </w:t>
            </w:r>
            <w:r>
              <w:rPr>
                <w:b/>
                <w:rFonts w:cs="Arial"/>
              </w:rPr>
              <w:t>Auswirkungen auf ein bestimmtes Budget</w:t>
            </w:r>
            <w:r>
              <w:rPr>
                <w:rFonts w:cs="Arial"/>
              </w:rPr>
              <w:t xml:space="preserve"> (beispielsweise für Arzneimittel)?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Berücksichtigt die HTA </w:t>
            </w:r>
            <w:r>
              <w:rPr>
                <w:b/>
                <w:rFonts w:cs="Arial"/>
              </w:rPr>
              <w:t>sämtliche</w:t>
            </w:r>
            <w:r>
              <w:rPr>
                <w:rFonts w:cs="Arial"/>
              </w:rPr>
              <w:t xml:space="preserve"> </w:t>
            </w:r>
            <w:r>
              <w:rPr>
                <w:b/>
                <w:rFonts w:cs="Arial"/>
              </w:rPr>
              <w:t>Kosten des Gesundheitswesens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Können </w:t>
            </w:r>
            <w:r>
              <w:rPr>
                <w:b/>
                <w:rFonts w:cs="Arial"/>
              </w:rPr>
              <w:t>sonstige Kosten</w:t>
            </w:r>
            <w:r>
              <w:rPr>
                <w:rFonts w:cs="Arial"/>
              </w:rPr>
              <w:t xml:space="preserve"> als zusätzliche Informationen eingeschlossen werden?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Finden – sofern relevant – </w:t>
            </w:r>
            <w:r>
              <w:rPr>
                <w:b/>
                <w:rFonts w:cs="Arial"/>
              </w:rPr>
              <w:t>Produktivitätszuwächse und -verluste</w:t>
            </w:r>
            <w:r>
              <w:rPr>
                <w:rFonts w:cs="Arial"/>
              </w:rPr>
              <w:t xml:space="preserve"> (wie indirekte Kosten und Nutzen) Berücksichtigung?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Sind – sofern relevant – Kosten für die </w:t>
            </w:r>
            <w:r>
              <w:rPr>
                <w:b/>
                <w:rFonts w:cs="Arial"/>
              </w:rPr>
              <w:t>informelle Versorgung</w:t>
            </w:r>
            <w:r>
              <w:rPr>
                <w:rFonts w:cs="Arial"/>
              </w:rPr>
              <w:t xml:space="preserve"> eingeschlossen?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Finden </w:t>
            </w:r>
            <w:r>
              <w:rPr>
                <w:b/>
                <w:rFonts w:cs="Arial"/>
              </w:rPr>
              <w:t>zusätzliche Lebensjahre</w:t>
            </w:r>
            <w:r>
              <w:rPr>
                <w:rFonts w:cs="Arial"/>
              </w:rPr>
              <w:t xml:space="preserve"> Eingang in das Kosten-Nutzen-Verhältnis?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8.</w:t>
            </w:r>
            <w:r>
              <w:rPr>
                <w:rFonts w:cs="Arial"/>
              </w:rPr>
              <w:t xml:space="preserve"> HTAs sollten Unsicherheiten im Zusammenhang mit Schätzwerten explizit charakterisieren.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Umfasst die HTA eine </w:t>
            </w:r>
            <w:r>
              <w:rPr>
                <w:b/>
                <w:rFonts w:cs="Arial"/>
              </w:rPr>
              <w:t>Sensitivitätsanalyse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Sind für wesentliche Schätzwerte </w:t>
            </w:r>
            <w:r>
              <w:rPr>
                <w:b/>
                <w:rFonts w:cs="Arial"/>
              </w:rPr>
              <w:t>Konfidenzintervalle</w:t>
            </w:r>
            <w:r>
              <w:rPr>
                <w:rFonts w:cs="Arial"/>
              </w:rPr>
              <w:t xml:space="preserve"> angegeben?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Wurden die </w:t>
            </w:r>
            <w:r>
              <w:rPr>
                <w:b/>
                <w:rFonts w:cs="Arial"/>
              </w:rPr>
              <w:t>wesentlichen Mängel</w:t>
            </w:r>
            <w:r>
              <w:rPr>
                <w:rFonts w:cs="Arial"/>
              </w:rPr>
              <w:t xml:space="preserve"> der verfügbaren Daten identifiziert und diskutiert?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Wurde eine Agenda für relevante </w:t>
            </w:r>
            <w:r>
              <w:rPr>
                <w:b/>
                <w:rFonts w:cs="Arial"/>
              </w:rPr>
              <w:t>zukünftige Forschungsvorhaben</w:t>
            </w:r>
            <w:r>
              <w:rPr>
                <w:rFonts w:cs="Arial"/>
              </w:rPr>
              <w:t xml:space="preserve"> aufgestellt?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9.</w:t>
            </w:r>
            <w:r>
              <w:rPr>
                <w:rFonts w:cs="Arial"/>
              </w:rPr>
              <w:t xml:space="preserve"> HTAs sollten Probleme der Verallgemeinbarkeit und der Übertragbarkeit berücksichtigen und behandeln.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Verfügt die Organisation über Methoden oder Leitlinien für den Umgang mit </w:t>
            </w:r>
            <w:r>
              <w:rPr>
                <w:b/>
                <w:rFonts w:cs="Arial"/>
              </w:rPr>
              <w:t>Problemen der Übertragbarkeit</w:t>
            </w:r>
            <w:r>
              <w:rPr>
                <w:rFonts w:cs="Arial"/>
              </w:rPr>
              <w:t xml:space="preserve"> bei der Verwendung von Daten oder Analysen aus anderen Rechtssystemen?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Berücksichtigt die HTA-Organisation die </w:t>
            </w:r>
            <w:r>
              <w:rPr>
                <w:b/>
                <w:rFonts w:cs="Arial"/>
              </w:rPr>
              <w:t>Verallgemeinbarkeit der Ergebnisse</w:t>
            </w:r>
            <w:r>
              <w:rPr>
                <w:rFonts w:cs="Arial"/>
              </w:rPr>
              <w:t xml:space="preserve"> ihrer Untersuchungen auf andere Patientenpopulationen, </w:t>
            </w:r>
            <w:r>
              <w:rPr>
                <w:b/>
                <w:rFonts w:cs="Arial"/>
              </w:rPr>
              <w:t>Gesundheitsversorgungssysteme</w:t>
            </w:r>
            <w:r>
              <w:rPr>
                <w:rFonts w:cs="Arial"/>
              </w:rPr>
              <w:t xml:space="preserve"> oder innerhalb des jeweiligen Rechtssystems relevante </w:t>
            </w:r>
            <w:r>
              <w:rPr>
                <w:b/>
                <w:rFonts w:cs="Arial"/>
              </w:rPr>
              <w:t>praktische Aspekte</w:t>
            </w:r>
            <w:r>
              <w:rPr>
                <w:rFonts w:cs="Arial"/>
              </w:rPr>
              <w:t>?</w:t>
            </w:r>
          </w:p>
        </w:tc>
      </w:tr>
    </w:tbl>
    <w:p w:rsidR="003C5FBA" w:rsidRPr="00005594" w:rsidRDefault="003C5FBA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Grundsätze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Audit-Fragen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10.</w:t>
            </w:r>
            <w:r>
              <w:rPr>
                <w:rFonts w:cs="Arial"/>
              </w:rPr>
              <w:t xml:space="preserve"> Mit der Durchführung von HTAs betraute Organisationen usw. sollten alle Interessengruppen (z. B. Fachgesellschaften, Patientenorganisationen, Hersteller) aktiv einbinden.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Ist die HTA-Organisation formal verpflichtet, </w:t>
            </w:r>
            <w:r>
              <w:rPr>
                <w:b/>
                <w:rFonts w:cs="Arial"/>
              </w:rPr>
              <w:t>Interessengruppen</w:t>
            </w:r>
            <w:r>
              <w:rPr>
                <w:rFonts w:cs="Arial"/>
              </w:rPr>
              <w:t xml:space="preserve"> in ihre Aktivitäten einzubeziehen?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Bezieht die HTA-Organisation Interessengruppen in die </w:t>
            </w:r>
            <w:r>
              <w:rPr>
                <w:b/>
                <w:rFonts w:cs="Arial"/>
              </w:rPr>
              <w:t>Formulierung (Abgrenzung) von HTAs</w:t>
            </w:r>
            <w:r>
              <w:rPr>
                <w:rFonts w:cs="Arial"/>
              </w:rPr>
              <w:t xml:space="preserve"> ein?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Verfügt die HTA-Organisation über einen Mechanismus für die Identifizierung der </w:t>
            </w:r>
            <w:r>
              <w:rPr>
                <w:b/>
                <w:rFonts w:cs="Arial"/>
              </w:rPr>
              <w:t>relevanten Interessengruppen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Fördert oder erfordert die HTA-Organisation die </w:t>
            </w:r>
            <w:r>
              <w:rPr>
                <w:b/>
                <w:rFonts w:cs="Arial"/>
              </w:rPr>
              <w:t>Vorlage von Evidenz</w:t>
            </w:r>
            <w:r>
              <w:rPr>
                <w:rFonts w:cs="Arial"/>
              </w:rPr>
              <w:t xml:space="preserve"> durch Interessengruppen?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Gestattet die HTA-Organisation Interessengruppen, zu Berichten im Entwurfsstadium </w:t>
            </w:r>
            <w:r>
              <w:rPr>
                <w:b/>
                <w:rFonts w:cs="Arial"/>
              </w:rPr>
              <w:t>Stellung zu nehmen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>• Gestattet die HTA-Organisation</w:t>
            </w:r>
            <w:r>
              <w:rPr>
                <w:b/>
                <w:rFonts w:cs="Arial"/>
              </w:rPr>
              <w:t xml:space="preserve"> Interessengruppen, gegen </w:t>
            </w:r>
            <w:r>
              <w:rPr>
                <w:rFonts w:cs="Arial"/>
              </w:rPr>
              <w:t>Empfehlungen und Entscheidungen</w:t>
            </w:r>
            <w:r>
              <w:t xml:space="preserve"> Einspruch zu erheben?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Sind </w:t>
            </w:r>
            <w:r>
              <w:rPr>
                <w:b/>
                <w:rFonts w:cs="Arial"/>
              </w:rPr>
              <w:t>Interessengruppen</w:t>
            </w:r>
            <w:r>
              <w:rPr>
                <w:rFonts w:cs="Arial"/>
              </w:rPr>
              <w:t xml:space="preserve"> (z. B. Patientengruppen, Hersteller, klinische Experten) in den Gremien der HTA-Organisation angemessen vertreten?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11.</w:t>
            </w:r>
            <w:r>
              <w:rPr>
                <w:rFonts w:cs="Arial"/>
              </w:rPr>
              <w:t xml:space="preserve"> Mit der Durchführung von HTAs betraute Organisationen sollten sich aktiv um die Beschaffung sämtlicher verfügbarer Daten bemühen.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>• Umfasst die systematische Durchsicht der klinischen Evidenz die „</w:t>
            </w:r>
            <w:r>
              <w:rPr>
                <w:b/>
                <w:rFonts w:cs="Arial"/>
              </w:rPr>
              <w:t>graue Literatur</w:t>
            </w:r>
            <w:r>
              <w:rPr>
                <w:rFonts w:cs="Arial"/>
              </w:rPr>
              <w:t xml:space="preserve">“ (nicht formell veröffentlichte akademische Literatur) und andere </w:t>
            </w:r>
            <w:r>
              <w:rPr>
                <w:b/>
                <w:rFonts w:cs="Arial"/>
              </w:rPr>
              <w:t>nicht veröffentlichte Daten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Verfügt die HTA-Organisation über </w:t>
            </w:r>
            <w:r>
              <w:rPr>
                <w:b/>
                <w:rFonts w:cs="Arial"/>
              </w:rPr>
              <w:t>Prozesse für den Umgang mit von Herstellern bereitgestellten vertraulichen Daten</w:t>
            </w:r>
            <w:r>
              <w:rPr>
                <w:rFonts w:cs="Arial"/>
              </w:rPr>
              <w:t>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12.</w:t>
            </w:r>
            <w:r>
              <w:rPr>
                <w:rFonts w:cs="Arial"/>
              </w:rPr>
              <w:t xml:space="preserve"> Die Implementierung der HTA-Erkenntnisse muss überwacht werden.</w:t>
            </w: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Entwickelt die HTA-Organisation einen </w:t>
            </w:r>
            <w:r>
              <w:rPr>
                <w:b/>
                <w:rFonts w:cs="Arial"/>
              </w:rPr>
              <w:t>Implementierungsplan</w:t>
            </w:r>
            <w:r>
              <w:rPr>
                <w:rFonts w:cs="Arial"/>
              </w:rPr>
              <w:t xml:space="preserve"> für ihre HTAs?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Überwacht die HTA-Organisation </w:t>
            </w:r>
            <w:r>
              <w:rPr>
                <w:b/>
                <w:rFonts w:cs="Arial"/>
              </w:rPr>
              <w:t>die Auswirkungen</w:t>
            </w:r>
            <w:r>
              <w:rPr>
                <w:rFonts w:cs="Arial"/>
              </w:rPr>
              <w:t xml:space="preserve"> ihrer Empfehlungen?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13.</w:t>
            </w:r>
            <w:r>
              <w:rPr>
                <w:rFonts w:cs="Arial"/>
              </w:rPr>
              <w:t xml:space="preserve"> HTAs sollten zeitnah durchgeführt werden.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Verfügt die HTA-Organisation über </w:t>
            </w:r>
            <w:r>
              <w:rPr>
                <w:b/>
                <w:rFonts w:cs="Arial"/>
              </w:rPr>
              <w:t>festgelegte Zeitrahmen</w:t>
            </w:r>
            <w:r>
              <w:rPr>
                <w:rFonts w:cs="Arial"/>
              </w:rPr>
              <w:t xml:space="preserve"> für die Durchführung von HTAs und die Erstellung von Empfehlungen?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Hält die HTA-Organisation die </w:t>
            </w:r>
            <w:r>
              <w:rPr>
                <w:b/>
                <w:rFonts w:cs="Arial"/>
              </w:rPr>
              <w:t>vereinbarten Zeitlinien</w:t>
            </w:r>
            <w:r>
              <w:rPr>
                <w:rFonts w:cs="Arial"/>
              </w:rPr>
              <w:t xml:space="preserve"> ein?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Verfügt die HTA-Organisation über einen Mechanismus für die </w:t>
            </w:r>
            <w:r>
              <w:rPr>
                <w:b/>
                <w:rFonts w:cs="Arial"/>
              </w:rPr>
              <w:t>Aktualisierung</w:t>
            </w:r>
            <w:r>
              <w:rPr>
                <w:rFonts w:cs="Arial"/>
              </w:rPr>
              <w:t xml:space="preserve"> ihrer HTAs und Empfehlungen innerhalb einer vorgegebenen Zeitspanne?</w:t>
            </w:r>
          </w:p>
        </w:tc>
      </w:tr>
    </w:tbl>
    <w:p w:rsidR="003C5FBA" w:rsidRPr="00005594" w:rsidRDefault="003C5FBA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15"/>
        <w:gridCol w:w="6245"/>
      </w:tblGrid>
      <w:tr w:rsidR="003C5FBA" w:rsidRPr="00005594" w:rsidTr="00005594">
        <w:tc>
          <w:tcPr>
            <w:tcW w:w="281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Grundsätze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3C5FBA" w:rsidRPr="00005594" w:rsidRDefault="003C5FBA" w:rsidP="00A87A25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  <w:rFonts w:cs="Arial"/>
              </w:rPr>
              <w:t>Audit-Fragen</w:t>
            </w: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14.</w:t>
            </w:r>
            <w:r>
              <w:rPr>
                <w:rFonts w:cs="Arial"/>
              </w:rPr>
              <w:t xml:space="preserve"> HTA-Erkenntnisse müssen den verschiedenen Entscheidungsträgern auf angemessene Weise kommuniziert werden.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Entwickelt die HTA-Organisation einen </w:t>
            </w:r>
            <w:r>
              <w:rPr>
                <w:b/>
                <w:rFonts w:cs="Arial"/>
              </w:rPr>
              <w:t>Kommunikationsplan</w:t>
            </w:r>
            <w:r>
              <w:rPr>
                <w:rFonts w:cs="Arial"/>
              </w:rPr>
              <w:t xml:space="preserve"> für ihre Empfehlungen und Entscheidungen?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Werden für die verschiedenen Zielgruppen (z. B. Angehörige des Gesundheitswesens, Entscheidungsträger, allgemeine Öffentlichkeit) </w:t>
            </w:r>
            <w:r>
              <w:rPr>
                <w:b/>
                <w:rFonts w:cs="Arial"/>
              </w:rPr>
              <w:t>separate Ausführungen</w:t>
            </w:r>
            <w:r>
              <w:rPr>
                <w:rFonts w:cs="Arial"/>
              </w:rPr>
              <w:t xml:space="preserve"> von Berichten erstellt?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Wird die </w:t>
            </w:r>
            <w:r>
              <w:rPr>
                <w:b/>
                <w:rFonts w:cs="Arial"/>
              </w:rPr>
              <w:t>Effektivität der Kommunikation</w:t>
            </w:r>
            <w:r>
              <w:rPr>
                <w:rFonts w:cs="Arial"/>
              </w:rPr>
              <w:t xml:space="preserve"> überwacht und evaluiert?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</w:tr>
      <w:tr w:rsidR="003C5FBA" w:rsidRPr="00005594" w:rsidTr="00005594">
        <w:tc>
          <w:tcPr>
            <w:tcW w:w="281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b/>
                <w:rFonts w:cs="Arial"/>
              </w:rPr>
              <w:t>Grundsatz 15.</w:t>
            </w:r>
            <w:r>
              <w:rPr>
                <w:rFonts w:cs="Arial"/>
              </w:rPr>
              <w:t xml:space="preserve"> Der Zusammenhang zwischen HTA-Erkenntnissen und Entscheidungsfindungsprozessen muss transparent und klar definiert sein.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</w:p>
        </w:tc>
        <w:tc>
          <w:tcPr>
            <w:tcW w:w="6245" w:type="dxa"/>
          </w:tcPr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>
              <w:rPr>
                <w:b/>
                <w:rFonts w:cs="Arial"/>
              </w:rPr>
              <w:t>Unterscheidet</w:t>
            </w:r>
            <w:r>
              <w:rPr>
                <w:rFonts w:cs="Arial"/>
              </w:rPr>
              <w:t xml:space="preserve"> die HTA-Organisation zwischen der wissenschaftlichen Beurteilung der Evidenz und der Bewertungsentscheidung?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Verfügt die HTA-Organisation über eine explizite </w:t>
            </w:r>
            <w:r>
              <w:rPr>
                <w:b/>
                <w:rFonts w:cs="Arial"/>
              </w:rPr>
              <w:t>Entscheidungsregel</w:t>
            </w:r>
            <w:r>
              <w:rPr>
                <w:rFonts w:cs="Arial"/>
              </w:rPr>
              <w:t xml:space="preserve"> für die Annahme/Nichtannahme von Gesundheitstechnologien?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Verfügt die HTA-Organisation über einen </w:t>
            </w:r>
            <w:r>
              <w:rPr>
                <w:b/>
                <w:rFonts w:cs="Arial"/>
              </w:rPr>
              <w:t>transparenten Ansatz</w:t>
            </w:r>
            <w:r>
              <w:rPr>
                <w:rFonts w:cs="Arial"/>
              </w:rPr>
              <w:t xml:space="preserve"> für die Gewichtung verschiedener Erwägungen (z. B. Wirtschaftlichkeit, Fairness)?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Empfiehlt oder fordert die HTA-Organisation eine bedingte Kostenübernahme oder Sondergebühren für die </w:t>
            </w:r>
            <w:r>
              <w:rPr>
                <w:b/>
                <w:rFonts w:cs="Arial"/>
              </w:rPr>
              <w:t>Teilnahme an der Entwicklung klinischer Studien</w:t>
            </w:r>
            <w:r>
              <w:rPr>
                <w:rFonts w:cs="Arial"/>
              </w:rPr>
              <w:t>?</w:t>
            </w:r>
          </w:p>
          <w:p w:rsidR="003C5FBA" w:rsidRPr="00005594" w:rsidRDefault="003C5FBA" w:rsidP="00A87A25">
            <w:pPr>
              <w:rPr>
                <w:rFonts w:cs="Arial"/>
              </w:rPr>
            </w:pPr>
            <w:r>
              <w:rPr>
                <w:rFonts w:cs="Arial"/>
              </w:rPr>
              <w:t xml:space="preserve">• Unterscheidet die HTA-Organisationen bei der Entscheidungsfindung </w:t>
            </w:r>
            <w:r>
              <w:rPr>
                <w:b/>
                <w:rFonts w:cs="Arial"/>
              </w:rPr>
              <w:t>zwischen identifizierbaren Untergruppen</w:t>
            </w:r>
            <w:r>
              <w:rPr>
                <w:rFonts w:cs="Arial"/>
              </w:rPr>
              <w:t xml:space="preserve"> der Patientenpopulation?</w:t>
            </w:r>
          </w:p>
        </w:tc>
      </w:tr>
    </w:tbl>
    <w:p w:rsidR="003C5FBA" w:rsidRDefault="003C5FBA" w:rsidP="00B54520">
      <w:pPr>
        <w:rPr>
          <w:rFonts w:cs="Arial"/>
        </w:rPr>
      </w:pPr>
    </w:p>
    <w:p w:rsidR="00DD7263" w:rsidRDefault="00DD7263" w:rsidP="00B54520">
      <w:pPr>
        <w:rPr>
          <w:rFonts w:cs="Arial"/>
        </w:rPr>
      </w:pPr>
    </w:p>
    <w:p w:rsidR="00DD7263" w:rsidRPr="00005594" w:rsidRDefault="00DD7263" w:rsidP="00B54520">
      <w:pPr>
        <w:rPr>
          <w:rFonts w:cs="Arial"/>
        </w:rPr>
      </w:pPr>
      <w:r>
        <w:rPr>
          <w:rFonts w:cs="Arial"/>
        </w:rPr>
        <w:t xml:space="preserve">Adaptiert nach Drummond M, Neumann P, Jönsson B, et al. (2012). Can We Reliably Benchmark Health Technology Assessment Organizations? </w:t>
      </w:r>
      <w:r>
        <w:rPr>
          <w:i/>
          <w:rFonts w:cs="Arial"/>
        </w:rPr>
        <w:t>International Journal of Technology Assessment in Health Care</w:t>
      </w:r>
      <w:r>
        <w:rPr>
          <w:rFonts w:cs="Arial"/>
        </w:rPr>
        <w:t>, 28(2), 159-65. http://dx.doi.org/10.1017/S0266462312000098</w:t>
      </w:r>
    </w:p>
    <w:sectPr w:rsidR="00DD7263" w:rsidRPr="00005594" w:rsidSect="008F149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53" w:rsidRDefault="00315853" w:rsidP="00B54520">
      <w:r>
        <w:separator/>
      </w:r>
    </w:p>
  </w:endnote>
  <w:endnote w:type="continuationSeparator" w:id="0">
    <w:p w:rsidR="00315853" w:rsidRDefault="00315853" w:rsidP="00B54520">
      <w:r>
        <w:continuationSeparator/>
      </w:r>
    </w:p>
  </w:endnote>
  <w:endnote w:type="continuationNotice" w:id="1">
    <w:p w:rsidR="00315853" w:rsidRDefault="00315853" w:rsidP="00B54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2516"/>
      <w:docPartObj>
        <w:docPartGallery w:val="Page Numbers (Bottom of Page)"/>
        <w:docPartUnique/>
      </w:docPartObj>
    </w:sdtPr>
    <w:sdtEndPr/>
    <w:sdtContent>
      <w:p w:rsidR="00FA019B" w:rsidRDefault="00ED1139" w:rsidP="00B54520">
        <w:pPr>
          <w:pStyle w:val="Footer"/>
        </w:pPr>
        <w:r>
          <w:drawing>
            <wp:anchor distT="0" distB="0" distL="114300" distR="114300" simplePos="0" relativeHeight="251663360" behindDoc="0" locked="0" layoutInCell="1" allowOverlap="1" wp14:anchorId="195D74F8" wp14:editId="315D0AC9">
              <wp:simplePos x="0" y="0"/>
              <wp:positionH relativeFrom="column">
                <wp:posOffset>-54763</wp:posOffset>
              </wp:positionH>
              <wp:positionV relativeFrom="paragraph">
                <wp:posOffset>-15519</wp:posOffset>
              </wp:positionV>
              <wp:extent cx="770992" cy="270662"/>
              <wp:effectExtent l="19050" t="0" r="0" b="0"/>
              <wp:wrapNone/>
              <wp:docPr id="6" name="Picture 1" descr="by-nc-sa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8" descr="by-nc-sa.png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92" cy="2706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 w:rsidR="00BD5560">
          <w:instrText xml:space="preserve"> PAGE   \* MERGEFORMAT </w:instrText>
        </w:r>
        <w:r w:rsidR="00BD5560">
          <w:fldChar w:fldCharType="separate"/>
        </w:r>
        <w:r w:rsidR="00B4469B">
          <w:rPr>
            <w:noProof/>
          </w:rPr>
          <w:t>4</w:t>
        </w:r>
        <w:r>
          <w:fldChar w:fldCharType="end"/>
        </w:r>
        <w:r>
          <w:tab/>
          <w:tab/>
          <w:t xml:space="preserve"> </w:t>
        </w:r>
        <w:r>
          <w:rPr>
            <w:b/>
            <w:bCs/>
          </w:rPr>
          <w:fldChar w:fldCharType="begin"/>
        </w:r>
        <w:r w:rsidR="000C357F" w:rsidRPr="000C357F">
          <w:rPr>
            <w:b/>
            <w:bCs/>
            <w:noProof/>
          </w:rPr>
          <w:instrText xml:space="preserve"> PAGE  \* Arabic  \* MERGEFORMAT </w:instrText>
        </w:r>
        <w:r w:rsidR="000C357F" w:rsidRPr="000C357F">
          <w:rPr>
            <w:b/>
            <w:bCs/>
            <w:noProof/>
          </w:rPr>
          <w:fldChar w:fldCharType="separate"/>
        </w:r>
        <w:r w:rsidR="00B4469B">
          <w:rPr>
            <w:b/>
            <w:bCs/>
            <w:noProof/>
          </w:rPr>
          <w:t>4</w:t>
        </w:r>
        <w:r>
          <w:fldChar w:fldCharType="end"/>
        </w:r>
        <w:r>
          <w:rPr>
            <w:b/>
            <w:bCs/>
          </w:rPr>
          <w:t>/</w:t>
        </w:r>
        <w:r>
          <w:rPr>
            <w:b/>
            <w:bCs/>
          </w:rPr>
          <w:fldChar w:fldCharType="begin"/>
        </w:r>
        <w:r w:rsidR="000C357F" w:rsidRPr="000C357F">
          <w:rPr>
            <w:b/>
            <w:bCs/>
            <w:noProof/>
          </w:rPr>
          <w:instrText xml:space="preserve"> NUMPAGES  \* Arabic  \* MERGEFORMAT </w:instrText>
        </w:r>
        <w:r w:rsidR="000C357F" w:rsidRPr="000C357F">
          <w:rPr>
            <w:b/>
            <w:bCs/>
            <w:noProof/>
          </w:rPr>
          <w:fldChar w:fldCharType="separate"/>
        </w:r>
        <w:r w:rsidR="00B4469B">
          <w:rPr>
            <w:b/>
            <w:bCs/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53" w:rsidRDefault="00315853" w:rsidP="00B54520">
      <w:r>
        <w:separator/>
      </w:r>
    </w:p>
  </w:footnote>
  <w:footnote w:type="continuationSeparator" w:id="0">
    <w:p w:rsidR="00315853" w:rsidRDefault="00315853" w:rsidP="00B54520">
      <w:r>
        <w:continuationSeparator/>
      </w:r>
    </w:p>
  </w:footnote>
  <w:footnote w:type="continuationNotice" w:id="1">
    <w:p w:rsidR="00315853" w:rsidRDefault="00315853" w:rsidP="00B545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35" w:rsidRDefault="002E7650" w:rsidP="00B54520">
    <w:pPr>
      <w:pStyle w:val="Header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441325</wp:posOffset>
              </wp:positionV>
              <wp:extent cx="1388745" cy="241935"/>
              <wp:effectExtent l="0" t="3175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139" w:rsidRPr="00047E36" w:rsidRDefault="00ED1139" w:rsidP="00B54520">
                          <w:pPr>
                            <w:pStyle w:val="Footer"/>
                          </w:pPr>
                          <w:r>
                            <w:t>http://www.eupati.eu</w:t>
                          </w:r>
                        </w:p>
                        <w:p w:rsidR="00ED1139" w:rsidRDefault="00ED1139" w:rsidP="00B545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5pt;margin-top:34.75pt;width:109.3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T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NuR1ksxJjFEFtoiE6bU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" filled="f" stroked="f">
              <v:textbox>
                <w:txbxContent>
                  <w:p w:rsidR="00ED1139" w:rsidRPr="00047E36" w:rsidRDefault="00ED1139" w:rsidP="00B54520">
                    <w:pPr>
                      <w:pStyle w:val="Footer"/>
                    </w:pPr>
                    <w:r>
                      <w:t>http://www.eupati.eu</w:t>
                    </w:r>
                  </w:p>
                  <w:p w:rsidR="00ED1139" w:rsidRDefault="00ED1139" w:rsidP="00B54520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1198880</wp:posOffset>
              </wp:positionH>
              <wp:positionV relativeFrom="paragraph">
                <wp:posOffset>20955</wp:posOffset>
              </wp:positionV>
              <wp:extent cx="2339340" cy="467995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19B" w:rsidRPr="00ED1139" w:rsidRDefault="00FA019B" w:rsidP="00B54520">
                          <w:pPr>
                            <w:rPr>
                              <w:color w:val="551A8B"/>
                              <w:lang w:val="en-IE"/>
                            </w:rPr>
                          </w:pPr>
                          <w:r>
                            <w:t>Europäische Patientenakademie zu Therapeutischen Innovationen</w:t>
                          </w:r>
                        </w:p>
                        <w:p w:rsidR="00FA019B" w:rsidRPr="00ED1139" w:rsidRDefault="00FA019B" w:rsidP="00B545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94.4pt;margin-top:1.65pt;width:184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75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" filled="f" stroked="f">
              <v:textbox>
                <w:txbxContent>
                  <w:p w:rsidR="00FA019B" w:rsidRPr="00ED1139" w:rsidRDefault="00FA019B" w:rsidP="00B54520">
                    <w:pPr>
                      <w:rPr>
                        <w:color w:val="551A8B"/>
                        <w:lang w:val="en-IE"/>
                      </w:rPr>
                    </w:pPr>
                    <w:r>
                      <w:t>Europäische Patientenakademie zu Therapeutischen Innovationen</w:t>
                    </w:r>
                  </w:p>
                  <w:p w:rsidR="00FA019B" w:rsidRPr="00ED1139" w:rsidRDefault="00FA019B" w:rsidP="00B54520"/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1057238" cy="589658"/>
          <wp:effectExtent l="19050" t="0" r="0" b="0"/>
          <wp:docPr id="7" name="Bild 1" descr="Beschreibung: EUPATI-Logo-web-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EUPATI-Logo-web-upda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16"/>
                  <a:stretch>
                    <a:fillRect/>
                  </a:stretch>
                </pic:blipFill>
                <pic:spPr bwMode="auto">
                  <a:xfrm>
                    <a:off x="0" y="0"/>
                    <a:ext cx="1055200" cy="5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ab/>
      <w:tab/>
    </w:r>
  </w:p>
  <w:p w:rsidR="00047E36" w:rsidRDefault="00047E36" w:rsidP="00B54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3E8E"/>
    <w:multiLevelType w:val="hybridMultilevel"/>
    <w:tmpl w:val="3CC22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0A4"/>
    <w:multiLevelType w:val="hybridMultilevel"/>
    <w:tmpl w:val="F98E5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EA9"/>
    <w:multiLevelType w:val="hybridMultilevel"/>
    <w:tmpl w:val="788A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2A94"/>
    <w:multiLevelType w:val="multilevel"/>
    <w:tmpl w:val="3F32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133D6D"/>
    <w:multiLevelType w:val="hybridMultilevel"/>
    <w:tmpl w:val="9BD821C6"/>
    <w:lvl w:ilvl="0" w:tplc="2A38F960">
      <w:start w:val="200"/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1CFD"/>
    <w:multiLevelType w:val="hybridMultilevel"/>
    <w:tmpl w:val="94888DAE"/>
    <w:lvl w:ilvl="0" w:tplc="184EE3A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50DCD"/>
    <w:multiLevelType w:val="hybridMultilevel"/>
    <w:tmpl w:val="3960A4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5873D9"/>
    <w:multiLevelType w:val="hybridMultilevel"/>
    <w:tmpl w:val="5AA0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9509C"/>
    <w:multiLevelType w:val="hybridMultilevel"/>
    <w:tmpl w:val="5C8C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0186F"/>
    <w:multiLevelType w:val="hybridMultilevel"/>
    <w:tmpl w:val="1FF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3E4"/>
    <w:multiLevelType w:val="hybridMultilevel"/>
    <w:tmpl w:val="6F64B7E8"/>
    <w:lvl w:ilvl="0" w:tplc="3E047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BA"/>
    <w:rsid w:val="00000666"/>
    <w:rsid w:val="00005594"/>
    <w:rsid w:val="00037816"/>
    <w:rsid w:val="0004195D"/>
    <w:rsid w:val="00047DAD"/>
    <w:rsid w:val="00047E36"/>
    <w:rsid w:val="0005038B"/>
    <w:rsid w:val="000559B8"/>
    <w:rsid w:val="00063556"/>
    <w:rsid w:val="00074E0E"/>
    <w:rsid w:val="00077E83"/>
    <w:rsid w:val="00082812"/>
    <w:rsid w:val="000939CF"/>
    <w:rsid w:val="000A2B24"/>
    <w:rsid w:val="000C357F"/>
    <w:rsid w:val="000E6FBC"/>
    <w:rsid w:val="000E7D37"/>
    <w:rsid w:val="000F3493"/>
    <w:rsid w:val="000F4ADA"/>
    <w:rsid w:val="001115FA"/>
    <w:rsid w:val="00112F4E"/>
    <w:rsid w:val="001176C6"/>
    <w:rsid w:val="00126514"/>
    <w:rsid w:val="00153753"/>
    <w:rsid w:val="001701AA"/>
    <w:rsid w:val="001928D4"/>
    <w:rsid w:val="001A06C5"/>
    <w:rsid w:val="001A6637"/>
    <w:rsid w:val="001C1135"/>
    <w:rsid w:val="001C11DC"/>
    <w:rsid w:val="001C1EC1"/>
    <w:rsid w:val="001D02FD"/>
    <w:rsid w:val="001E65BE"/>
    <w:rsid w:val="002042C5"/>
    <w:rsid w:val="002114E4"/>
    <w:rsid w:val="00222A6E"/>
    <w:rsid w:val="00274B8F"/>
    <w:rsid w:val="00280975"/>
    <w:rsid w:val="0029337E"/>
    <w:rsid w:val="002B4E86"/>
    <w:rsid w:val="002D4053"/>
    <w:rsid w:val="002E3270"/>
    <w:rsid w:val="002E7650"/>
    <w:rsid w:val="002F27F8"/>
    <w:rsid w:val="00315853"/>
    <w:rsid w:val="0033333B"/>
    <w:rsid w:val="003430FB"/>
    <w:rsid w:val="003440FF"/>
    <w:rsid w:val="00396DFD"/>
    <w:rsid w:val="003B2377"/>
    <w:rsid w:val="003C5FBA"/>
    <w:rsid w:val="003C681E"/>
    <w:rsid w:val="003D3703"/>
    <w:rsid w:val="003D79A3"/>
    <w:rsid w:val="003F50D6"/>
    <w:rsid w:val="00410919"/>
    <w:rsid w:val="00410AC8"/>
    <w:rsid w:val="00411B09"/>
    <w:rsid w:val="00433D27"/>
    <w:rsid w:val="00455493"/>
    <w:rsid w:val="004B0D48"/>
    <w:rsid w:val="004B0F48"/>
    <w:rsid w:val="004C02B4"/>
    <w:rsid w:val="004F7058"/>
    <w:rsid w:val="00502880"/>
    <w:rsid w:val="00506943"/>
    <w:rsid w:val="00522128"/>
    <w:rsid w:val="00527DB1"/>
    <w:rsid w:val="00533052"/>
    <w:rsid w:val="0054367C"/>
    <w:rsid w:val="00556B6D"/>
    <w:rsid w:val="005608E5"/>
    <w:rsid w:val="00560E60"/>
    <w:rsid w:val="00571C26"/>
    <w:rsid w:val="0057410A"/>
    <w:rsid w:val="00575AB1"/>
    <w:rsid w:val="00593FE8"/>
    <w:rsid w:val="005A7863"/>
    <w:rsid w:val="005B1018"/>
    <w:rsid w:val="005B1FFD"/>
    <w:rsid w:val="005B2D2D"/>
    <w:rsid w:val="005C29CD"/>
    <w:rsid w:val="005D3C98"/>
    <w:rsid w:val="005D7C96"/>
    <w:rsid w:val="00602F85"/>
    <w:rsid w:val="00616199"/>
    <w:rsid w:val="00621E44"/>
    <w:rsid w:val="00653E43"/>
    <w:rsid w:val="006706A4"/>
    <w:rsid w:val="00684D01"/>
    <w:rsid w:val="0069371A"/>
    <w:rsid w:val="00694B23"/>
    <w:rsid w:val="00696A72"/>
    <w:rsid w:val="006E6477"/>
    <w:rsid w:val="006F4AD1"/>
    <w:rsid w:val="00701A73"/>
    <w:rsid w:val="00737119"/>
    <w:rsid w:val="00757ACA"/>
    <w:rsid w:val="007621A4"/>
    <w:rsid w:val="007705E8"/>
    <w:rsid w:val="00782A28"/>
    <w:rsid w:val="007866C9"/>
    <w:rsid w:val="0079540F"/>
    <w:rsid w:val="007979F2"/>
    <w:rsid w:val="007B0543"/>
    <w:rsid w:val="007B39DB"/>
    <w:rsid w:val="007D24E4"/>
    <w:rsid w:val="007D5D30"/>
    <w:rsid w:val="007F5390"/>
    <w:rsid w:val="00810B4D"/>
    <w:rsid w:val="00830662"/>
    <w:rsid w:val="00842CF6"/>
    <w:rsid w:val="008853D7"/>
    <w:rsid w:val="008D1D06"/>
    <w:rsid w:val="008E036F"/>
    <w:rsid w:val="008E0A12"/>
    <w:rsid w:val="008E4C8E"/>
    <w:rsid w:val="008F0BC0"/>
    <w:rsid w:val="008F1493"/>
    <w:rsid w:val="00921DE1"/>
    <w:rsid w:val="00923AEC"/>
    <w:rsid w:val="00927316"/>
    <w:rsid w:val="009523E0"/>
    <w:rsid w:val="00957D2B"/>
    <w:rsid w:val="00962F21"/>
    <w:rsid w:val="009701A0"/>
    <w:rsid w:val="009731EF"/>
    <w:rsid w:val="0097365C"/>
    <w:rsid w:val="00986800"/>
    <w:rsid w:val="00992BE5"/>
    <w:rsid w:val="009A08B3"/>
    <w:rsid w:val="009B1789"/>
    <w:rsid w:val="009B1C86"/>
    <w:rsid w:val="009B23D0"/>
    <w:rsid w:val="009B766E"/>
    <w:rsid w:val="009E144B"/>
    <w:rsid w:val="00A03A51"/>
    <w:rsid w:val="00A43C6E"/>
    <w:rsid w:val="00A50E00"/>
    <w:rsid w:val="00A5288F"/>
    <w:rsid w:val="00A659DE"/>
    <w:rsid w:val="00A95B70"/>
    <w:rsid w:val="00AA25FD"/>
    <w:rsid w:val="00AA6ACC"/>
    <w:rsid w:val="00AA6BFA"/>
    <w:rsid w:val="00AE517C"/>
    <w:rsid w:val="00AF1AD7"/>
    <w:rsid w:val="00AF4BBC"/>
    <w:rsid w:val="00B22CC3"/>
    <w:rsid w:val="00B26228"/>
    <w:rsid w:val="00B27E46"/>
    <w:rsid w:val="00B4469B"/>
    <w:rsid w:val="00B54520"/>
    <w:rsid w:val="00B631C2"/>
    <w:rsid w:val="00B72BDB"/>
    <w:rsid w:val="00BA5D8F"/>
    <w:rsid w:val="00BC194A"/>
    <w:rsid w:val="00BC767C"/>
    <w:rsid w:val="00BD5560"/>
    <w:rsid w:val="00BE0FEC"/>
    <w:rsid w:val="00BE669A"/>
    <w:rsid w:val="00C130C1"/>
    <w:rsid w:val="00C2703B"/>
    <w:rsid w:val="00C46A74"/>
    <w:rsid w:val="00C51DA5"/>
    <w:rsid w:val="00C53246"/>
    <w:rsid w:val="00C650B0"/>
    <w:rsid w:val="00C84033"/>
    <w:rsid w:val="00CA2000"/>
    <w:rsid w:val="00CB506C"/>
    <w:rsid w:val="00CD508F"/>
    <w:rsid w:val="00CF53A1"/>
    <w:rsid w:val="00CF7C2C"/>
    <w:rsid w:val="00D0732B"/>
    <w:rsid w:val="00D176BB"/>
    <w:rsid w:val="00D22E6F"/>
    <w:rsid w:val="00D310EA"/>
    <w:rsid w:val="00D4122C"/>
    <w:rsid w:val="00D418B8"/>
    <w:rsid w:val="00D4452A"/>
    <w:rsid w:val="00D5131A"/>
    <w:rsid w:val="00D55908"/>
    <w:rsid w:val="00D9392E"/>
    <w:rsid w:val="00DA22AF"/>
    <w:rsid w:val="00DC0EEA"/>
    <w:rsid w:val="00DC437D"/>
    <w:rsid w:val="00DD3E88"/>
    <w:rsid w:val="00DD7263"/>
    <w:rsid w:val="00DE69E3"/>
    <w:rsid w:val="00DE7632"/>
    <w:rsid w:val="00DF4245"/>
    <w:rsid w:val="00DF51A0"/>
    <w:rsid w:val="00E0121C"/>
    <w:rsid w:val="00E04C9C"/>
    <w:rsid w:val="00E22ACC"/>
    <w:rsid w:val="00E51659"/>
    <w:rsid w:val="00E80369"/>
    <w:rsid w:val="00E870D3"/>
    <w:rsid w:val="00E954DA"/>
    <w:rsid w:val="00EB77CD"/>
    <w:rsid w:val="00ED1139"/>
    <w:rsid w:val="00ED3F76"/>
    <w:rsid w:val="00EE055A"/>
    <w:rsid w:val="00EE7852"/>
    <w:rsid w:val="00F00D01"/>
    <w:rsid w:val="00F00F69"/>
    <w:rsid w:val="00F23984"/>
    <w:rsid w:val="00F25EFB"/>
    <w:rsid w:val="00F3417E"/>
    <w:rsid w:val="00F50F90"/>
    <w:rsid w:val="00F54E0A"/>
    <w:rsid w:val="00F55095"/>
    <w:rsid w:val="00F668CB"/>
    <w:rsid w:val="00F803C0"/>
    <w:rsid w:val="00FA019B"/>
    <w:rsid w:val="00FA3AB3"/>
    <w:rsid w:val="00FB4996"/>
    <w:rsid w:val="00FC4F54"/>
    <w:rsid w:val="00FC6BEE"/>
    <w:rsid w:val="00FD453B"/>
    <w:rsid w:val="00FD5452"/>
    <w:rsid w:val="00FE1D95"/>
    <w:rsid w:val="00FE3F4E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02D88B4-16C2-444B-A6E6-332CCF2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20"/>
    <w:pPr>
      <w:spacing w:line="276" w:lineRule="auto"/>
      <w:contextualSpacing/>
    </w:pPr>
    <w:rPr>
      <w:rFonts w:ascii="Arial" w:hAnsi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54520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520"/>
    <w:pPr>
      <w:spacing w:before="120" w:after="120"/>
      <w:outlineLvl w:val="1"/>
    </w:pPr>
    <w:rPr>
      <w:b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520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130C1"/>
    <w:pPr>
      <w:spacing w:before="0"/>
    </w:pPr>
    <w:rPr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13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520"/>
    <w:pPr>
      <w:numPr>
        <w:numId w:val="11"/>
      </w:numPr>
      <w:spacing w:before="120" w:after="120"/>
    </w:pPr>
    <w:rPr>
      <w:rFonts w:eastAsia="Calibri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C130C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30C1"/>
    <w:pPr>
      <w:spacing w:before="0" w:after="200"/>
      <w:contextualSpacing w:val="0"/>
    </w:pPr>
    <w:rPr>
      <w:rFonts w:cs="Arial"/>
      <w:i/>
      <w:color w:val="002060"/>
      <w:szCs w:val="2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0C1"/>
    <w:rPr>
      <w:rFonts w:ascii="Arial" w:hAnsi="Arial" w:cs="Arial"/>
      <w:i/>
      <w:color w:val="00206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DF51A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6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6C6"/>
    <w:rPr>
      <w:color w:val="808080"/>
    </w:rPr>
  </w:style>
  <w:style w:type="paragraph" w:styleId="Header">
    <w:name w:val="header"/>
    <w:basedOn w:val="Normal"/>
    <w:link w:val="HeaderChar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7DB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27DB1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7DB1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23E0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D7"/>
    <w:pPr>
      <w:spacing w:before="60" w:after="0"/>
      <w:contextualSpacing/>
    </w:pPr>
    <w:rPr>
      <w:rFonts w:cstheme="minorBidi"/>
      <w:b/>
      <w:bCs/>
      <w:i w:val="0"/>
      <w:color w:val="auto"/>
      <w:u w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D7"/>
    <w:rPr>
      <w:rFonts w:ascii="Arial" w:hAnsi="Arial" w:cs="Arial"/>
      <w:b/>
      <w:bCs/>
      <w:i/>
      <w:color w:val="002060"/>
      <w:sz w:val="20"/>
      <w:szCs w:val="20"/>
      <w:u w:val="single"/>
    </w:rPr>
  </w:style>
  <w:style w:type="paragraph" w:styleId="Revision">
    <w:name w:val="Revision"/>
    <w:hidden/>
    <w:uiPriority w:val="99"/>
    <w:semiHidden/>
    <w:rsid w:val="00410919"/>
    <w:pPr>
      <w:spacing w:before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4520"/>
    <w:rPr>
      <w:rFonts w:ascii="Arial" w:hAnsi="Arial"/>
      <w:b/>
      <w:sz w:val="32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54520"/>
    <w:pPr>
      <w:spacing w:before="120" w:after="120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4520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4520"/>
    <w:rPr>
      <w:rFonts w:ascii="Arial" w:hAnsi="Arial"/>
      <w:b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452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z\Documents\Templates\Toolbox-Fact-sheet-template-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366A-E467-4AE0-AB8F-28D2A0DE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Toolbox-Fact-sheet-template-1.2.dotx</Template>
  <TotalTime>42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Scherz</dc:creator>
  <cp:lastModifiedBy>Heidi Scherz</cp:lastModifiedBy>
  <cp:revision>6</cp:revision>
  <cp:lastPrinted>2014-10-24T13:00:00Z</cp:lastPrinted>
  <dcterms:created xsi:type="dcterms:W3CDTF">2015-11-20T09:22:00Z</dcterms:created>
  <dcterms:modified xsi:type="dcterms:W3CDTF">2015-11-20T15:07:00Z</dcterms:modified>
</cp:coreProperties>
</file>