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D2" w:rsidRDefault="00ED1139" w:rsidP="005B2D2D">
      <w:pPr>
        <w:spacing w:before="120" w:after="120"/>
        <w:rPr>
          <w:b/>
          <w:sz w:val="36"/>
          <w:szCs w:val="36"/>
        </w:rPr>
      </w:pPr>
      <w:r>
        <w:rPr>
          <w:b/>
          <w:sz w:val="36"/>
          <w:szCs w:val="36"/>
        </w:rPr>
        <w:t>Fiche de données : Résumé des concepts réglementaires et de la législation, et rôle des associations de patients</w:t>
      </w:r>
    </w:p>
    <w:p w:rsidR="002E3139" w:rsidRDefault="002E3139" w:rsidP="005B2D2D">
      <w:pPr>
        <w:spacing w:before="120" w:after="120"/>
        <w:rPr>
          <w:b/>
          <w:sz w:val="36"/>
          <w:szCs w:val="36"/>
        </w:rPr>
      </w:pPr>
      <w:bookmarkStart w:id="0" w:name="_GoBack"/>
      <w:bookmarkEnd w:id="0"/>
    </w:p>
    <w:tbl>
      <w:tblPr>
        <w:tblStyle w:val="TableGrid"/>
        <w:tblW w:w="0" w:type="auto"/>
        <w:shd w:val="clear" w:color="auto" w:fill="FFFFFF" w:themeFill="background1"/>
        <w:tblCellMar>
          <w:top w:w="142" w:type="dxa"/>
          <w:bottom w:w="142" w:type="dxa"/>
        </w:tblCellMar>
        <w:tblLook w:val="04A0" w:firstRow="1" w:lastRow="0" w:firstColumn="1" w:lastColumn="0" w:noHBand="0" w:noVBand="1"/>
      </w:tblPr>
      <w:tblGrid>
        <w:gridCol w:w="1490"/>
        <w:gridCol w:w="3190"/>
        <w:gridCol w:w="3200"/>
        <w:gridCol w:w="3194"/>
        <w:gridCol w:w="3202"/>
      </w:tblGrid>
      <w:tr w:rsidR="00476705" w:rsidRPr="00476705" w:rsidTr="00476705">
        <w:tc>
          <w:tcPr>
            <w:tcW w:w="1497"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Type de produits</w:t>
            </w:r>
          </w:p>
        </w:tc>
        <w:tc>
          <w:tcPr>
            <w:tcW w:w="3251"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Définition du produit</w:t>
            </w:r>
          </w:p>
        </w:tc>
        <w:tc>
          <w:tcPr>
            <w:tcW w:w="3251" w:type="dxa"/>
            <w:shd w:val="clear" w:color="auto" w:fill="F2F2F2" w:themeFill="background1" w:themeFillShade="F2"/>
            <w:vAlign w:val="center"/>
          </w:tcPr>
          <w:p w:rsidR="002E3139" w:rsidRPr="00476705" w:rsidRDefault="002E3139" w:rsidP="00FD0FB3">
            <w:pPr>
              <w:rPr>
                <w:rFonts w:eastAsia="Times New Roman" w:cs="Arial"/>
                <w:b/>
                <w:sz w:val="22"/>
                <w:lang w:eastAsia="fr-FR"/>
              </w:rPr>
            </w:pPr>
            <w:r>
              <w:rPr>
                <w:b/>
                <w:sz w:val="22"/>
                <w:rFonts w:eastAsia="Times New Roman" w:cs="Arial"/>
              </w:rPr>
              <w:t>Aspects essentiels du parcours réglementaire de la demande et de l'obtention d'une autorisation de mise sur le marché (AMM)</w:t>
            </w:r>
          </w:p>
        </w:tc>
        <w:tc>
          <w:tcPr>
            <w:tcW w:w="3251"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Comités scientifiques dédiés</w:t>
            </w:r>
          </w:p>
        </w:tc>
        <w:tc>
          <w:tcPr>
            <w:tcW w:w="3252"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Rôle spécifique des associations de patients</w:t>
            </w:r>
          </w:p>
        </w:tc>
      </w:tr>
      <w:tr w:rsidR="002E3139" w:rsidRPr="00476705" w:rsidTr="00476705">
        <w:trPr>
          <w:trHeight w:val="3200"/>
        </w:trPr>
        <w:tc>
          <w:tcPr>
            <w:tcW w:w="1497"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Médicaments orphelins</w:t>
            </w:r>
          </w:p>
        </w:tc>
        <w:tc>
          <w:tcPr>
            <w:tcW w:w="3251" w:type="dxa"/>
            <w:shd w:val="clear" w:color="auto" w:fill="FFFFFF" w:themeFill="background1"/>
          </w:tcPr>
          <w:p w:rsidR="002E3139" w:rsidRPr="00476705" w:rsidRDefault="002E3139" w:rsidP="002E3139">
            <w:pPr>
              <w:rPr>
                <w:rFonts w:eastAsia="Times New Roman" w:cs="Arial"/>
                <w:sz w:val="22"/>
                <w:lang w:eastAsia="fr-FR"/>
              </w:rPr>
            </w:pPr>
            <w:r>
              <w:rPr>
                <w:sz w:val="22"/>
                <w:rFonts w:eastAsia="Times New Roman" w:cs="Arial"/>
              </w:rPr>
              <w:t>Médicaments utilisés dans le traitement des maladies rares (maladies potentiellement mortelles ou chroniquement invalidantes qui n'affectent pas plus de 5 personnes sur 10 000 dans l'UE)</w:t>
            </w:r>
          </w:p>
        </w:tc>
        <w:tc>
          <w:tcPr>
            <w:tcW w:w="3251" w:type="dxa"/>
            <w:shd w:val="clear" w:color="auto" w:fill="FFFFFF" w:themeFill="background1"/>
          </w:tcPr>
          <w:p w:rsidR="002E3139" w:rsidRPr="00476705" w:rsidRDefault="002E3139" w:rsidP="00FD0FB3">
            <w:pPr>
              <w:rPr>
                <w:rFonts w:eastAsia="Times New Roman" w:cs="Arial"/>
                <w:sz w:val="22"/>
                <w:lang w:eastAsia="fr-FR"/>
              </w:rPr>
            </w:pPr>
            <w:r>
              <w:rPr>
                <w:sz w:val="22"/>
                <w:rFonts w:eastAsia="Times New Roman" w:cs="Arial"/>
              </w:rPr>
              <w:t>Procédure centralisée de l'Agence européenne des médicaments (EMA) : obligatoire</w:t>
            </w:r>
          </w:p>
          <w:p w:rsidR="002E3139" w:rsidRPr="00476705" w:rsidRDefault="002E3139" w:rsidP="00FD0FB3">
            <w:pPr>
              <w:rPr>
                <w:rFonts w:eastAsia="Times New Roman" w:cs="Arial"/>
                <w:sz w:val="22"/>
                <w:lang w:eastAsia="fr-FR"/>
              </w:rPr>
            </w:pPr>
          </w:p>
          <w:p w:rsidR="002E3139" w:rsidRPr="00476705" w:rsidRDefault="002E3139" w:rsidP="00FD0FB3">
            <w:pPr>
              <w:rPr>
                <w:rFonts w:eastAsia="Times New Roman" w:cs="Arial"/>
                <w:sz w:val="22"/>
                <w:lang w:eastAsia="fr-FR"/>
              </w:rPr>
            </w:pPr>
            <w:r>
              <w:rPr>
                <w:sz w:val="22"/>
                <w:rFonts w:eastAsia="Times New Roman" w:cs="Arial"/>
              </w:rPr>
              <w:t xml:space="preserve">Demande de désignation de médicament orphelin devant précéder le dépôt de demande d'AMM </w:t>
            </w:r>
          </w:p>
          <w:p w:rsidR="002E3139" w:rsidRPr="00476705" w:rsidRDefault="002E3139" w:rsidP="00FD0FB3">
            <w:pPr>
              <w:rPr>
                <w:rFonts w:eastAsia="Times New Roman" w:cs="Arial"/>
                <w:sz w:val="22"/>
                <w:lang w:eastAsia="fr-FR"/>
              </w:rPr>
            </w:pPr>
          </w:p>
          <w:p w:rsidR="00476705" w:rsidRPr="00476705" w:rsidRDefault="002E3139" w:rsidP="00FD0FB3">
            <w:pPr>
              <w:rPr>
                <w:rFonts w:eastAsia="Times New Roman" w:cs="Arial"/>
                <w:sz w:val="22"/>
                <w:lang w:eastAsia="fr-FR"/>
              </w:rPr>
            </w:pPr>
            <w:r>
              <w:rPr>
                <w:sz w:val="22"/>
                <w:rFonts w:eastAsia="Times New Roman" w:cs="Arial"/>
              </w:rPr>
              <w:t>Incitations de l'EMA : assistance scientifique et technique ; réduction des frais pour les petites et moyennes entreprises (PME) ; extension de l'exclusivité de commercialisation</w:t>
            </w:r>
          </w:p>
        </w:tc>
        <w:tc>
          <w:tcPr>
            <w:tcW w:w="3251" w:type="dxa"/>
            <w:shd w:val="clear" w:color="auto" w:fill="FFFFFF" w:themeFill="background1"/>
          </w:tcPr>
          <w:p w:rsidR="002E3139" w:rsidRPr="00476705" w:rsidRDefault="002E3139" w:rsidP="009C0983">
            <w:pPr>
              <w:rPr>
                <w:rFonts w:eastAsia="Times New Roman" w:cs="Arial"/>
                <w:sz w:val="22"/>
                <w:lang w:eastAsia="fr-FR"/>
              </w:rPr>
            </w:pPr>
            <w:r>
              <w:rPr>
                <w:sz w:val="22"/>
                <w:rFonts w:eastAsia="Times New Roman" w:cs="Arial"/>
              </w:rPr>
              <w:t xml:space="preserve">COMP (EMA – Comité des médicaments orphelins) : évaluation de la demande de désignation de médicament orphelin </w:t>
            </w:r>
          </w:p>
        </w:tc>
        <w:tc>
          <w:tcPr>
            <w:tcW w:w="3252" w:type="dxa"/>
            <w:shd w:val="clear" w:color="auto" w:fill="FFFFFF" w:themeFill="background1"/>
          </w:tcPr>
          <w:p w:rsidR="002E3139" w:rsidRPr="00476705" w:rsidRDefault="002E3139" w:rsidP="00FD0FB3">
            <w:pPr>
              <w:rPr>
                <w:rFonts w:eastAsia="Times New Roman" w:cs="Arial"/>
                <w:sz w:val="22"/>
                <w:lang w:eastAsia="fr-FR"/>
              </w:rPr>
            </w:pPr>
            <w:r>
              <w:rPr>
                <w:sz w:val="22"/>
                <w:rFonts w:eastAsia="Times New Roman" w:cs="Arial"/>
              </w:rPr>
              <w:t>Membres du COMP</w:t>
            </w:r>
          </w:p>
        </w:tc>
      </w:tr>
    </w:tbl>
    <w:p w:rsidR="00FD0FB3" w:rsidRDefault="00FD0FB3">
      <w:r>
        <w:br w:type="page"/>
      </w:r>
    </w:p>
    <w:tbl>
      <w:tblPr>
        <w:tblStyle w:val="TableGrid"/>
        <w:tblW w:w="0" w:type="auto"/>
        <w:tblCellMar>
          <w:top w:w="142" w:type="dxa"/>
          <w:bottom w:w="142" w:type="dxa"/>
        </w:tblCellMar>
        <w:tblLook w:val="04A0" w:firstRow="1" w:lastRow="0" w:firstColumn="1" w:lastColumn="0" w:noHBand="0" w:noVBand="1"/>
      </w:tblPr>
      <w:tblGrid>
        <w:gridCol w:w="1494"/>
        <w:gridCol w:w="3195"/>
        <w:gridCol w:w="3188"/>
        <w:gridCol w:w="14"/>
        <w:gridCol w:w="3198"/>
        <w:gridCol w:w="3187"/>
      </w:tblGrid>
      <w:tr w:rsidR="002E3139" w:rsidRPr="00476705" w:rsidTr="00476705">
        <w:tc>
          <w:tcPr>
            <w:tcW w:w="1494" w:type="dxa"/>
            <w:shd w:val="clear" w:color="auto" w:fill="F2F2F2" w:themeFill="background1" w:themeFillShade="F2"/>
            <w:vAlign w:val="center"/>
          </w:tcPr>
          <w:p w:rsidR="002E3139" w:rsidRPr="00476705" w:rsidRDefault="002E3139" w:rsidP="00FD0FB3">
            <w:pPr>
              <w:rPr>
                <w:rFonts w:eastAsia="Times New Roman" w:cs="Arial"/>
                <w:b/>
                <w:sz w:val="22"/>
                <w:lang w:eastAsia="fr-FR"/>
              </w:rPr>
            </w:pPr>
            <w:r>
              <w:rPr>
                <w:b/>
                <w:sz w:val="22"/>
                <w:rFonts w:eastAsia="Times New Roman" w:cs="Arial"/>
              </w:rPr>
              <w:t>Médicaments de thérapie innovante (ATMP)</w:t>
            </w:r>
          </w:p>
        </w:tc>
        <w:tc>
          <w:tcPr>
            <w:tcW w:w="3196" w:type="dxa"/>
          </w:tcPr>
          <w:p w:rsidR="002E3139" w:rsidRPr="00476705" w:rsidRDefault="002E3139" w:rsidP="009C0983">
            <w:pPr>
              <w:rPr>
                <w:rFonts w:eastAsia="Times New Roman" w:cs="Arial"/>
                <w:sz w:val="22"/>
                <w:lang w:eastAsia="fr-FR"/>
              </w:rPr>
            </w:pPr>
            <w:r>
              <w:rPr>
                <w:sz w:val="22"/>
                <w:rFonts w:eastAsia="Times New Roman" w:cs="Arial"/>
              </w:rPr>
              <w:t>Médicaments complexes fabriqués à partir de gènes et de cellules ou de tissus (différents des médicaments classiques fabriqués à partir de substances chimiques ou de protéines)</w:t>
            </w:r>
          </w:p>
          <w:p w:rsidR="002E3139" w:rsidRPr="00476705" w:rsidRDefault="002E3139" w:rsidP="009C0983">
            <w:pPr>
              <w:rPr>
                <w:rFonts w:eastAsia="Times New Roman" w:cs="Arial"/>
                <w:sz w:val="22"/>
                <w:lang w:eastAsia="fr-FR"/>
              </w:rPr>
            </w:pPr>
          </w:p>
          <w:p w:rsidR="00476705" w:rsidRPr="00476705" w:rsidRDefault="002E3139" w:rsidP="009C0983">
            <w:pPr>
              <w:rPr>
                <w:rFonts w:eastAsia="Times New Roman" w:cs="Arial"/>
                <w:sz w:val="22"/>
                <w:lang w:eastAsia="fr-FR"/>
              </w:rPr>
            </w:pPr>
            <w:r>
              <w:rPr>
                <w:sz w:val="22"/>
                <w:rFonts w:eastAsia="Times New Roman" w:cs="Arial"/>
              </w:rPr>
              <w:t>Ils représentent des approches innovantes dans le traitement des maladies et des blessures (et pas seulement des maladies génétiques) et découlent des recherches scientifiques de pointe</w:t>
            </w:r>
          </w:p>
        </w:tc>
        <w:tc>
          <w:tcPr>
            <w:tcW w:w="3203" w:type="dxa"/>
            <w:gridSpan w:val="2"/>
          </w:tcPr>
          <w:p w:rsidR="002E3139" w:rsidRPr="00476705" w:rsidRDefault="002E3139" w:rsidP="009C0983">
            <w:pPr>
              <w:rPr>
                <w:rFonts w:eastAsia="Times New Roman" w:cs="Arial"/>
                <w:sz w:val="22"/>
                <w:lang w:eastAsia="fr-FR"/>
              </w:rPr>
            </w:pPr>
            <w:r>
              <w:rPr>
                <w:sz w:val="22"/>
                <w:rFonts w:eastAsia="Times New Roman" w:cs="Arial"/>
              </w:rPr>
              <w:t>Procédure centralisée de l'EMA : obligatoire</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 xml:space="preserve">Au-delà de la qualité, de la sécurité et de l'efficacité, l'évaluation peut également prendre en considération des critères liés à la nature du produit : </w:t>
            </w:r>
          </w:p>
          <w:p w:rsidR="002E3139" w:rsidRPr="00476705" w:rsidRDefault="002E3139" w:rsidP="009C0983">
            <w:pPr>
              <w:rPr>
                <w:rFonts w:eastAsia="Times New Roman" w:cs="Arial"/>
                <w:sz w:val="22"/>
                <w:lang w:eastAsia="fr-FR"/>
              </w:rPr>
            </w:pPr>
            <w:r>
              <w:rPr>
                <w:sz w:val="22"/>
                <w:rFonts w:eastAsia="Times New Roman" w:cs="Arial"/>
              </w:rPr>
              <w:t xml:space="preserve">par exemple, le risque environnemental </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Une traçabilité complète est exigée</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 xml:space="preserve">Incitations de l'EMA : réduction des frais </w:t>
            </w:r>
          </w:p>
        </w:tc>
        <w:tc>
          <w:tcPr>
            <w:tcW w:w="3195" w:type="dxa"/>
          </w:tcPr>
          <w:p w:rsidR="002E3139" w:rsidRPr="00476705" w:rsidRDefault="002E3139" w:rsidP="009C0983">
            <w:pPr>
              <w:rPr>
                <w:rFonts w:eastAsia="Times New Roman" w:cs="Arial"/>
                <w:sz w:val="22"/>
                <w:lang w:eastAsia="fr-FR"/>
              </w:rPr>
            </w:pPr>
            <w:r>
              <w:rPr>
                <w:sz w:val="22"/>
                <w:rFonts w:eastAsia="Times New Roman" w:cs="Arial"/>
              </w:rPr>
              <w:t>CAT (EMA - Comité des médicaments de thérapie innovante) : évaluation de la demande d'AMM</w:t>
            </w:r>
          </w:p>
        </w:tc>
        <w:tc>
          <w:tcPr>
            <w:tcW w:w="3188" w:type="dxa"/>
          </w:tcPr>
          <w:p w:rsidR="002E3139" w:rsidRPr="00476705" w:rsidRDefault="002E3139" w:rsidP="009C0983">
            <w:pPr>
              <w:rPr>
                <w:rFonts w:eastAsia="Times New Roman" w:cs="Arial"/>
                <w:sz w:val="22"/>
                <w:lang w:eastAsia="fr-FR"/>
              </w:rPr>
            </w:pPr>
            <w:r>
              <w:rPr>
                <w:sz w:val="22"/>
                <w:rFonts w:eastAsia="Times New Roman" w:cs="Arial"/>
              </w:rPr>
              <w:t>Membres du CAT</w:t>
            </w:r>
          </w:p>
          <w:p w:rsidR="002E3139" w:rsidRPr="00476705" w:rsidRDefault="002E3139" w:rsidP="00FD0FB3">
            <w:pPr>
              <w:rPr>
                <w:rFonts w:eastAsia="Times New Roman" w:cs="Arial"/>
                <w:sz w:val="22"/>
                <w:lang w:eastAsia="fr-FR"/>
              </w:rPr>
            </w:pPr>
          </w:p>
        </w:tc>
      </w:tr>
      <w:tr w:rsidR="002E3139" w:rsidRPr="00476705" w:rsidTr="00476705">
        <w:tc>
          <w:tcPr>
            <w:tcW w:w="1494"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Médicaments pédiatriques</w:t>
            </w:r>
          </w:p>
        </w:tc>
        <w:tc>
          <w:tcPr>
            <w:tcW w:w="3196" w:type="dxa"/>
          </w:tcPr>
          <w:p w:rsidR="002E3139" w:rsidRPr="00476705" w:rsidRDefault="002E3139" w:rsidP="009C0983">
            <w:pPr>
              <w:rPr>
                <w:rFonts w:eastAsia="Times New Roman" w:cs="Arial"/>
                <w:sz w:val="22"/>
                <w:lang w:eastAsia="fr-FR"/>
              </w:rPr>
            </w:pPr>
            <w:r>
              <w:rPr>
                <w:sz w:val="22"/>
                <w:rFonts w:eastAsia="Times New Roman" w:cs="Arial"/>
              </w:rPr>
              <w:t>Médicaments destinés aux enfants, de la naissance jusqu'à la veille des 18 ans</w:t>
            </w:r>
          </w:p>
        </w:tc>
        <w:tc>
          <w:tcPr>
            <w:tcW w:w="3203" w:type="dxa"/>
            <w:gridSpan w:val="2"/>
          </w:tcPr>
          <w:p w:rsidR="002E3139" w:rsidRPr="00476705" w:rsidRDefault="002E3139" w:rsidP="009C0983">
            <w:pPr>
              <w:rPr>
                <w:rFonts w:eastAsia="Times New Roman" w:cs="Arial"/>
                <w:sz w:val="22"/>
                <w:lang w:eastAsia="fr-FR"/>
              </w:rPr>
            </w:pPr>
            <w:r>
              <w:rPr>
                <w:sz w:val="22"/>
                <w:rFonts w:eastAsia="Times New Roman" w:cs="Arial"/>
              </w:rPr>
              <w:t xml:space="preserve">Procédure centralisée de l'EMA </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Soumission d'une proposition de plan d'investigation pédiatrique (PIP) devant précéder la demande auprès de l'EMA (obligatoire pour tous les nouveaux produits pharmaceutiques)</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La demande d'AMM doit contenir les résultats et les informations exigés dans le PIP – sauf en cas de dispense de PIP lorsqu'un produit cible des maladies qui ne touchent pas les enfants</w:t>
            </w:r>
          </w:p>
          <w:p w:rsidR="00FD0FB3" w:rsidRPr="00476705" w:rsidRDefault="002E3139" w:rsidP="009C0983">
            <w:pPr>
              <w:rPr>
                <w:rFonts w:eastAsia="Times New Roman" w:cs="Arial"/>
                <w:sz w:val="22"/>
                <w:lang w:eastAsia="fr-FR"/>
              </w:rPr>
            </w:pPr>
            <w:r>
              <w:rPr>
                <w:sz w:val="22"/>
                <w:rFonts w:eastAsia="Times New Roman" w:cs="Arial"/>
              </w:rPr>
              <w:t xml:space="preserve">Incitations de l'EMA : conseil scientifique et extension de l'exclusivité du brevet </w:t>
            </w:r>
          </w:p>
        </w:tc>
        <w:tc>
          <w:tcPr>
            <w:tcW w:w="3195" w:type="dxa"/>
          </w:tcPr>
          <w:p w:rsidR="002E3139" w:rsidRPr="00476705" w:rsidRDefault="002E3139" w:rsidP="009C0983">
            <w:pPr>
              <w:rPr>
                <w:rFonts w:eastAsia="Times New Roman" w:cs="Arial"/>
                <w:sz w:val="22"/>
                <w:lang w:eastAsia="fr-FR"/>
              </w:rPr>
            </w:pPr>
            <w:r>
              <w:rPr>
                <w:sz w:val="22"/>
                <w:rFonts w:eastAsia="Times New Roman" w:cs="Arial"/>
              </w:rPr>
              <w:t>PDCO (EMA – Comité pédiatrique) : évaluation du PIP et émission d'une dispense de PIP</w:t>
            </w:r>
          </w:p>
        </w:tc>
        <w:tc>
          <w:tcPr>
            <w:tcW w:w="3188" w:type="dxa"/>
          </w:tcPr>
          <w:p w:rsidR="002E3139" w:rsidRPr="00476705" w:rsidRDefault="002E3139" w:rsidP="00FD0FB3">
            <w:pPr>
              <w:rPr>
                <w:rFonts w:eastAsia="Times New Roman" w:cs="Arial"/>
                <w:sz w:val="22"/>
                <w:lang w:eastAsia="fr-FR"/>
              </w:rPr>
            </w:pPr>
            <w:r>
              <w:rPr>
                <w:sz w:val="22"/>
                <w:rFonts w:eastAsia="Times New Roman" w:cs="Arial"/>
              </w:rPr>
              <w:t>Membres du CAT</w:t>
            </w:r>
          </w:p>
        </w:tc>
      </w:tr>
      <w:tr w:rsidR="002E3139" w:rsidRPr="00476705" w:rsidTr="00476705">
        <w:tc>
          <w:tcPr>
            <w:tcW w:w="1494"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Médicaments génériques</w:t>
            </w:r>
          </w:p>
        </w:tc>
        <w:tc>
          <w:tcPr>
            <w:tcW w:w="3196" w:type="dxa"/>
          </w:tcPr>
          <w:p w:rsidR="002E3139" w:rsidRPr="00476705" w:rsidRDefault="002E3139" w:rsidP="009C0983">
            <w:pPr>
              <w:rPr>
                <w:rFonts w:eastAsia="Times New Roman" w:cs="Arial"/>
                <w:sz w:val="22"/>
                <w:lang w:eastAsia="fr-FR"/>
              </w:rPr>
            </w:pPr>
            <w:r>
              <w:rPr>
                <w:sz w:val="22"/>
                <w:rFonts w:eastAsia="Times New Roman" w:cs="Arial"/>
              </w:rPr>
              <w:t>Médicaments créés pour être identiques à un « médicament de référence » déjà autorisé</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Contient les mêmes substances actives et utilisé dans le traitement des mêmes maladies et à la même dose</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 xml:space="preserve">Mais les excipients, le nom, l'aspect et le goût peuvent être différents </w:t>
            </w:r>
          </w:p>
        </w:tc>
        <w:tc>
          <w:tcPr>
            <w:tcW w:w="3203" w:type="dxa"/>
            <w:gridSpan w:val="2"/>
          </w:tcPr>
          <w:p w:rsidR="002E3139" w:rsidRPr="00476705" w:rsidRDefault="002E3139" w:rsidP="009C0983">
            <w:pPr>
              <w:rPr>
                <w:rFonts w:eastAsia="Times New Roman" w:cs="Arial"/>
                <w:sz w:val="22"/>
                <w:lang w:eastAsia="fr-FR"/>
              </w:rPr>
            </w:pPr>
            <w:r>
              <w:rPr>
                <w:sz w:val="22"/>
                <w:rFonts w:eastAsia="Times New Roman" w:cs="Arial"/>
              </w:rPr>
              <w:t>Procédure centralisée de l'EMA (sous conditions) ou</w:t>
            </w:r>
          </w:p>
          <w:p w:rsidR="002E3139" w:rsidRPr="00476705" w:rsidRDefault="002E3139" w:rsidP="009C0983">
            <w:pPr>
              <w:rPr>
                <w:rFonts w:eastAsia="Times New Roman" w:cs="Arial"/>
                <w:sz w:val="22"/>
                <w:lang w:eastAsia="fr-FR"/>
              </w:rPr>
            </w:pPr>
            <w:r>
              <w:rPr>
                <w:sz w:val="22"/>
                <w:rFonts w:eastAsia="Times New Roman" w:cs="Arial"/>
              </w:rPr>
              <w:t xml:space="preserve">procédures nationales/autres </w:t>
            </w:r>
          </w:p>
          <w:p w:rsidR="002E3139" w:rsidRPr="00476705" w:rsidRDefault="002E3139" w:rsidP="009C0983">
            <w:pPr>
              <w:rPr>
                <w:rFonts w:eastAsia="Times New Roman" w:cs="Arial"/>
                <w:sz w:val="22"/>
                <w:lang w:eastAsia="fr-FR"/>
              </w:rPr>
            </w:pPr>
          </w:p>
          <w:p w:rsidR="002E3139" w:rsidRPr="00476705" w:rsidRDefault="002E3139" w:rsidP="009C0983">
            <w:pPr>
              <w:rPr>
                <w:rFonts w:eastAsia="Times New Roman" w:cs="Arial"/>
                <w:sz w:val="22"/>
                <w:lang w:eastAsia="fr-FR"/>
              </w:rPr>
            </w:pPr>
            <w:r>
              <w:rPr>
                <w:sz w:val="22"/>
                <w:rFonts w:eastAsia="Times New Roman" w:cs="Arial"/>
              </w:rPr>
              <w:t>Dossier de demande : repose sur les données du médicament de référence et sur les données de bioéquivalence du médicament générique par rapport au médicament de référence</w:t>
            </w:r>
          </w:p>
          <w:p w:rsidR="002E3139" w:rsidRPr="00476705" w:rsidRDefault="002E3139" w:rsidP="009C0983">
            <w:pPr>
              <w:rPr>
                <w:rFonts w:eastAsia="Times New Roman" w:cs="Arial"/>
                <w:sz w:val="22"/>
                <w:lang w:eastAsia="fr-FR"/>
              </w:rPr>
            </w:pPr>
          </w:p>
          <w:p w:rsidR="00FD0FB3" w:rsidRPr="00476705" w:rsidRDefault="002E3139" w:rsidP="00FD0FB3">
            <w:pPr>
              <w:rPr>
                <w:rFonts w:eastAsia="Times New Roman" w:cs="Arial"/>
                <w:sz w:val="22"/>
                <w:lang w:eastAsia="fr-FR"/>
              </w:rPr>
            </w:pPr>
            <w:r>
              <w:rPr>
                <w:sz w:val="22"/>
                <w:rFonts w:eastAsia="Times New Roman" w:cs="Arial"/>
              </w:rPr>
              <w:t>AMM accordée uniquement à l'issue de la période d'exclusivité du médicament de référence</w:t>
            </w:r>
          </w:p>
        </w:tc>
        <w:tc>
          <w:tcPr>
            <w:tcW w:w="3195" w:type="dxa"/>
          </w:tcPr>
          <w:p w:rsidR="002E3139" w:rsidRPr="00476705" w:rsidRDefault="002E3139" w:rsidP="009C0983">
            <w:pPr>
              <w:rPr>
                <w:rFonts w:eastAsia="Times New Roman" w:cs="Arial"/>
                <w:sz w:val="22"/>
                <w:lang w:eastAsia="fr-FR"/>
              </w:rPr>
            </w:pPr>
            <w:r>
              <w:rPr>
                <w:sz w:val="22"/>
                <w:rFonts w:eastAsia="Times New Roman" w:cs="Arial"/>
              </w:rPr>
              <w:t>Pas de comité spécifique</w:t>
            </w:r>
          </w:p>
        </w:tc>
        <w:tc>
          <w:tcPr>
            <w:tcW w:w="3188" w:type="dxa"/>
          </w:tcPr>
          <w:p w:rsidR="002E3139" w:rsidRPr="00476705" w:rsidRDefault="002E3139" w:rsidP="009C0983">
            <w:pPr>
              <w:rPr>
                <w:rFonts w:eastAsia="Times New Roman" w:cs="Arial"/>
                <w:sz w:val="22"/>
                <w:lang w:eastAsia="fr-FR"/>
              </w:rPr>
            </w:pPr>
          </w:p>
        </w:tc>
      </w:tr>
      <w:tr w:rsidR="002E3139" w:rsidRPr="002E3139" w:rsidTr="00476705">
        <w:trPr>
          <w:trHeight w:val="2603"/>
        </w:trPr>
        <w:tc>
          <w:tcPr>
            <w:tcW w:w="1494" w:type="dxa"/>
            <w:shd w:val="clear" w:color="auto" w:fill="F2F2F2" w:themeFill="background1" w:themeFillShade="F2"/>
            <w:vAlign w:val="center"/>
          </w:tcPr>
          <w:p w:rsidR="002E3139" w:rsidRPr="00476705" w:rsidRDefault="002E3139" w:rsidP="002E3139">
            <w:pPr>
              <w:rPr>
                <w:rFonts w:eastAsia="Times New Roman" w:cs="Arial"/>
                <w:b/>
                <w:sz w:val="22"/>
                <w:lang w:eastAsia="fr-FR"/>
              </w:rPr>
            </w:pPr>
            <w:r>
              <w:rPr>
                <w:b/>
                <w:sz w:val="22"/>
                <w:rFonts w:eastAsia="Times New Roman" w:cs="Arial"/>
              </w:rPr>
              <w:t>Médicaments biosimilaires</w:t>
            </w:r>
          </w:p>
        </w:tc>
        <w:tc>
          <w:tcPr>
            <w:tcW w:w="3195" w:type="dxa"/>
          </w:tcPr>
          <w:p w:rsidR="00476705" w:rsidRPr="00476705" w:rsidRDefault="002E3139" w:rsidP="009C0983">
            <w:pPr>
              <w:rPr>
                <w:rFonts w:eastAsia="Times New Roman" w:cs="Arial"/>
                <w:sz w:val="22"/>
                <w:lang w:eastAsia="fr-FR"/>
              </w:rPr>
            </w:pPr>
            <w:r>
              <w:rPr>
                <w:sz w:val="22"/>
                <w:rFonts w:eastAsia="Times New Roman" w:cs="Arial"/>
              </w:rPr>
              <w:t>Médicaments développés pour être similaires à des médicaments biologiques déjà autorisés (les médicaments biologiques sont des médicaments complexes d'origine biologique ou cellulaire directe ou dérivée, pouvant contenir du sang ou des composés sanguins, des thérapies géniques, des tissus et des protéines).</w:t>
            </w:r>
          </w:p>
        </w:tc>
        <w:tc>
          <w:tcPr>
            <w:tcW w:w="3189" w:type="dxa"/>
          </w:tcPr>
          <w:p w:rsidR="002E3139" w:rsidRPr="00476705" w:rsidRDefault="002E3139" w:rsidP="009C0983">
            <w:pPr>
              <w:rPr>
                <w:rFonts w:eastAsia="Times New Roman" w:cs="Arial"/>
                <w:sz w:val="22"/>
                <w:lang w:eastAsia="fr-FR"/>
              </w:rPr>
            </w:pPr>
            <w:r>
              <w:rPr>
                <w:sz w:val="22"/>
                <w:rFonts w:eastAsia="Times New Roman" w:cs="Arial"/>
              </w:rPr>
              <w:t xml:space="preserve">Procédure centralisée de l'EMA ou procédures nationales/autres </w:t>
            </w:r>
          </w:p>
          <w:p w:rsidR="002E3139" w:rsidRPr="00476705" w:rsidRDefault="002E3139" w:rsidP="009C0983">
            <w:pPr>
              <w:rPr>
                <w:rFonts w:eastAsia="Times New Roman" w:cs="Arial"/>
                <w:sz w:val="22"/>
                <w:lang w:eastAsia="fr-FR"/>
              </w:rPr>
            </w:pPr>
          </w:p>
          <w:p w:rsidR="002E3139" w:rsidRPr="00476705" w:rsidRDefault="002E3139" w:rsidP="00FD0FB3">
            <w:pPr>
              <w:rPr>
                <w:rFonts w:eastAsia="Times New Roman" w:cs="Arial"/>
                <w:sz w:val="22"/>
                <w:lang w:eastAsia="fr-FR"/>
              </w:rPr>
            </w:pPr>
            <w:r>
              <w:rPr>
                <w:sz w:val="22"/>
                <w:rFonts w:eastAsia="Times New Roman" w:cs="Arial"/>
              </w:rPr>
              <w:t>AMM accordée uniquement à l'issue de la période d'exclusivité du médicament biologique (de référence)</w:t>
            </w:r>
          </w:p>
        </w:tc>
        <w:tc>
          <w:tcPr>
            <w:tcW w:w="3213" w:type="dxa"/>
            <w:gridSpan w:val="2"/>
          </w:tcPr>
          <w:p w:rsidR="002E3139" w:rsidRPr="00476705" w:rsidRDefault="002E3139" w:rsidP="009C0983">
            <w:pPr>
              <w:rPr>
                <w:rFonts w:eastAsia="Times New Roman" w:cs="Arial"/>
                <w:sz w:val="22"/>
                <w:lang w:eastAsia="fr-FR"/>
              </w:rPr>
            </w:pPr>
            <w:r>
              <w:rPr>
                <w:sz w:val="22"/>
                <w:rFonts w:eastAsia="Times New Roman" w:cs="Arial"/>
              </w:rPr>
              <w:t xml:space="preserve">Pas de comité spécifique mais </w:t>
            </w:r>
          </w:p>
          <w:p w:rsidR="002E3139" w:rsidRPr="00476705" w:rsidRDefault="002E3139" w:rsidP="009C0983">
            <w:pPr>
              <w:rPr>
                <w:rFonts w:eastAsia="Times New Roman" w:cs="Arial"/>
                <w:sz w:val="22"/>
                <w:lang w:eastAsia="fr-FR"/>
              </w:rPr>
            </w:pPr>
            <w:r>
              <w:rPr>
                <w:sz w:val="22"/>
                <w:rFonts w:eastAsia="Times New Roman" w:cs="Arial"/>
              </w:rPr>
              <w:t>BMWP (EMA – Groupe de travail sur les médicaments biosimilaires) : fournit des recommandations au CHMP et coopère avec les parties intéressées</w:t>
            </w:r>
          </w:p>
        </w:tc>
        <w:tc>
          <w:tcPr>
            <w:tcW w:w="3185" w:type="dxa"/>
          </w:tcPr>
          <w:p w:rsidR="002E3139" w:rsidRPr="00476705" w:rsidRDefault="002E3139" w:rsidP="00FD0FB3">
            <w:pPr>
              <w:rPr>
                <w:rFonts w:eastAsia="Times New Roman" w:cs="Arial"/>
                <w:sz w:val="22"/>
                <w:lang w:eastAsia="fr-FR"/>
              </w:rPr>
            </w:pPr>
            <w:r>
              <w:rPr>
                <w:sz w:val="22"/>
                <w:rFonts w:eastAsia="Times New Roman" w:cs="Arial"/>
              </w:rPr>
              <w:t>Certaines parties intéressées en liaison avec le BMWP</w:t>
            </w:r>
          </w:p>
        </w:tc>
      </w:tr>
    </w:tbl>
    <w:p w:rsidR="002E3139" w:rsidRPr="00476705" w:rsidRDefault="002E3139" w:rsidP="00476705">
      <w:pPr>
        <w:spacing w:before="120" w:after="120"/>
        <w:rPr>
          <w:b/>
          <w:sz w:val="12"/>
          <w:szCs w:val="36"/>
        </w:rPr>
      </w:pPr>
    </w:p>
    <w:sectPr w:rsidR="002E3139" w:rsidRPr="00476705" w:rsidSect="002E3139">
      <w:headerReference w:type="default" r:id="rId8"/>
      <w:footerReference w:type="default" r:id="rId9"/>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CD" w:rsidRDefault="004866CD" w:rsidP="00527DB1">
      <w:pPr>
        <w:spacing w:before="0"/>
      </w:pPr>
      <w:r>
        <w:separator/>
      </w:r>
    </w:p>
  </w:endnote>
  <w:endnote w:type="continuationSeparator" w:id="0">
    <w:p w:rsidR="004866CD" w:rsidRDefault="004866CD" w:rsidP="00527DB1">
      <w:pPr>
        <w:spacing w:before="0"/>
      </w:pPr>
      <w:r>
        <w:continuationSeparator/>
      </w:r>
    </w:p>
  </w:endnote>
  <w:endnote w:type="continuationNotice" w:id="1">
    <w:p w:rsidR="004866CD" w:rsidRDefault="004866C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4F1739">
          <w:instrText xml:space="preserve"> PAGE   \* MERGEFORMAT </w:instrText>
        </w:r>
        <w:r w:rsidR="004F1739">
          <w:fldChar w:fldCharType="separate"/>
        </w:r>
        <w:r w:rsidR="006C1BB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CD" w:rsidRDefault="004866CD" w:rsidP="00527DB1">
      <w:pPr>
        <w:spacing w:before="0"/>
      </w:pPr>
      <w:r>
        <w:separator/>
      </w:r>
    </w:p>
  </w:footnote>
  <w:footnote w:type="continuationSeparator" w:id="0">
    <w:p w:rsidR="004866CD" w:rsidRDefault="004866CD" w:rsidP="00527DB1">
      <w:pPr>
        <w:spacing w:before="0"/>
      </w:pPr>
      <w:r>
        <w:continuationSeparator/>
      </w:r>
    </w:p>
  </w:footnote>
  <w:footnote w:type="continuationNotice" w:id="1">
    <w:p w:rsidR="004866CD" w:rsidRDefault="004866C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EA667D"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t>http://www.eupati.eu</w:t>
                    </w:r>
                  </w:p>
                  <w:p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Pr>
                              <w:sz w:val="24"/>
                              <w:szCs w:val="12"/>
                            </w:rPr>
                            <w:t>Académie</w:t>
                          </w:r>
                          <w:r>
                            <w:rPr>
                              <w:color w:val="551A8B"/>
                              <w:sz w:val="24"/>
                              <w:szCs w:val="12"/>
                            </w:rPr>
                            <w:t xml:space="preserve"> </w:t>
                          </w:r>
                          <w:r>
                            <w:rPr>
                              <w:color w:val="022F68"/>
                              <w:sz w:val="24"/>
                              <w:szCs w:val="12"/>
                            </w:rPr>
                            <w:t>européenne de patients</w:t>
                          </w:r>
                          <w:r>
                            <w:rPr>
                              <w:color w:val="551A8B"/>
                              <w:sz w:val="24"/>
                              <w:szCs w:val="12"/>
                            </w:rPr>
                            <w:t xml:space="preserve"> </w:t>
                          </w:r>
                          <w:r>
                            <w:rPr>
                              <w:sz w:val="24"/>
                              <w:szCs w:val="12"/>
                            </w:rPr>
                            <w:t>sur l'innovation thérapeutique</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Pr>
                        <w:sz w:val="24"/>
                        <w:szCs w:val="12"/>
                      </w:rPr>
                      <w:t>Académie</w:t>
                    </w:r>
                    <w:r>
                      <w:rPr>
                        <w:color w:val="551A8B"/>
                        <w:sz w:val="24"/>
                        <w:szCs w:val="12"/>
                      </w:rPr>
                      <w:t xml:space="preserve"> </w:t>
                    </w:r>
                    <w:r>
                      <w:rPr>
                        <w:color w:val="022F68"/>
                        <w:sz w:val="24"/>
                        <w:szCs w:val="12"/>
                      </w:rPr>
                      <w:t>européenne de patients</w:t>
                    </w:r>
                    <w:r>
                      <w:rPr>
                        <w:color w:val="551A8B"/>
                        <w:sz w:val="24"/>
                        <w:szCs w:val="12"/>
                      </w:rPr>
                      <w:t xml:space="preserve"> </w:t>
                    </w:r>
                    <w:r>
                      <w:rPr>
                        <w:sz w:val="24"/>
                        <w:szCs w:val="12"/>
                      </w:rPr>
                      <w:t>sur l'innovation thérapeutique</w:t>
                    </w:r>
                  </w:p>
                  <w:p w:rsidR="00FA019B" w:rsidRPr="00ED1139" w:rsidRDefault="00FA019B" w:rsidP="00ED1139">
                    <w:pPr>
                      <w:rPr>
                        <w:sz w:val="24"/>
                        <w:szCs w:val="12"/>
                      </w:rPr>
                    </w:pPr>
                  </w:p>
                </w:txbxContent>
              </v:textbox>
            </v:shape>
          </w:pict>
        </mc:Fallback>
      </mc:AlternateContent>
    </w:r>
    <w: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rsidR="001C1135" w:rsidRDefault="001C1135">
    <w:pPr>
      <w:pStyle w:val="Header"/>
    </w:pPr>
  </w:p>
  <w:p w:rsidR="00EA667D" w:rsidRDefault="00EA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4"/>
  </w:num>
  <w:num w:numId="6">
    <w:abstractNumId w:val="10"/>
  </w:num>
  <w:num w:numId="7">
    <w:abstractNumId w:val="6"/>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C2"/>
    <w:rsid w:val="00000666"/>
    <w:rsid w:val="00037816"/>
    <w:rsid w:val="0004195D"/>
    <w:rsid w:val="00047DAD"/>
    <w:rsid w:val="00047E36"/>
    <w:rsid w:val="0005038B"/>
    <w:rsid w:val="000559B8"/>
    <w:rsid w:val="00056EC4"/>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139"/>
    <w:rsid w:val="002E3270"/>
    <w:rsid w:val="002E4D8F"/>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76705"/>
    <w:rsid w:val="004866CD"/>
    <w:rsid w:val="004B0D48"/>
    <w:rsid w:val="004B0F48"/>
    <w:rsid w:val="004C02B4"/>
    <w:rsid w:val="004F1739"/>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3CEB"/>
    <w:rsid w:val="005D7C96"/>
    <w:rsid w:val="00602F85"/>
    <w:rsid w:val="00616199"/>
    <w:rsid w:val="00621E44"/>
    <w:rsid w:val="00653E43"/>
    <w:rsid w:val="006706A4"/>
    <w:rsid w:val="00684D01"/>
    <w:rsid w:val="0069371A"/>
    <w:rsid w:val="00694B23"/>
    <w:rsid w:val="00696A72"/>
    <w:rsid w:val="006C1BB4"/>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E0FEC"/>
    <w:rsid w:val="00BE669A"/>
    <w:rsid w:val="00C10551"/>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1CD2"/>
    <w:rsid w:val="00DA22AF"/>
    <w:rsid w:val="00DC0EEA"/>
    <w:rsid w:val="00DC437D"/>
    <w:rsid w:val="00DD3E88"/>
    <w:rsid w:val="00DE69E3"/>
    <w:rsid w:val="00DE7632"/>
    <w:rsid w:val="00DF4245"/>
    <w:rsid w:val="00DF51A0"/>
    <w:rsid w:val="00E0121C"/>
    <w:rsid w:val="00E04C9C"/>
    <w:rsid w:val="00E22ACC"/>
    <w:rsid w:val="00E36E8A"/>
    <w:rsid w:val="00E80369"/>
    <w:rsid w:val="00E870D3"/>
    <w:rsid w:val="00E954DA"/>
    <w:rsid w:val="00EA667D"/>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0FB3"/>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B86CD9-D95B-4231-B3E1-CFF1FCF2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C2C9-3C61-4C1E-A7FA-BC246DC7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505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dc:creator>
  <cp:lastModifiedBy>Heidi Scherz</cp:lastModifiedBy>
  <cp:revision>6</cp:revision>
  <cp:lastPrinted>2014-10-24T13:00:00Z</cp:lastPrinted>
  <dcterms:created xsi:type="dcterms:W3CDTF">2015-09-04T07:57:00Z</dcterms:created>
  <dcterms:modified xsi:type="dcterms:W3CDTF">2015-09-04T08:10:00Z</dcterms:modified>
</cp:coreProperties>
</file>