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9" w:rsidRPr="00D80E60" w:rsidRDefault="00ED1139" w:rsidP="005B2D2D">
      <w:pPr>
        <w:spacing w:before="120" w:after="120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Arkusz informacyjny: </w:t>
      </w:r>
      <w:r>
        <w:rPr>
          <w:rFonts w:cs="Arial"/>
          <w:b/>
          <w:color w:val="7F7F7F" w:themeColor="text1" w:themeTint="80"/>
          <w:sz w:val="36"/>
          <w:szCs w:val="36"/>
        </w:rPr>
        <w:t>Projekt SCORE</w:t>
      </w:r>
    </w:p>
    <w:p w:rsidR="005B2D2D" w:rsidRPr="008C1850" w:rsidRDefault="005B2D2D" w:rsidP="005B2D2D">
      <w:pPr>
        <w:spacing w:before="120" w:after="120"/>
        <w:rPr>
          <w:rFonts w:cs="Arial"/>
          <w:b/>
          <w:sz w:val="22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Ten arkusz informacyjny przedstawia jak poważnie czynniki ryzyka wpływają na zdrowie i długość życia oraz jak można je ograniczyć. Dzięki znaczącemu ograniczeniu odpowiednich czynników można osiągnąć poprawę stanu zdrowia i przedłużyć życie. Na przykład do oceny ryzyka w projekcie „</w:t>
      </w:r>
      <w:r>
        <w:rPr>
          <w:rFonts w:cs="Arial"/>
          <w:b/>
          <w:sz w:val="22"/>
        </w:rPr>
        <w:t>S</w:t>
      </w:r>
      <w:r>
        <w:rPr>
          <w:rFonts w:cs="Arial"/>
          <w:sz w:val="22"/>
        </w:rPr>
        <w:t xml:space="preserve">ystematic </w:t>
      </w:r>
      <w:r>
        <w:rPr>
          <w:rFonts w:cs="Arial"/>
          <w:b/>
          <w:sz w:val="22"/>
        </w:rPr>
        <w:t>CO</w:t>
      </w:r>
      <w:r>
        <w:rPr>
          <w:rFonts w:cs="Arial"/>
          <w:sz w:val="22"/>
        </w:rPr>
        <w:t xml:space="preserve">ronary </w:t>
      </w:r>
      <w:r>
        <w:rPr>
          <w:rFonts w:cs="Arial"/>
          <w:b/>
          <w:sz w:val="22"/>
        </w:rPr>
        <w:t>R</w:t>
      </w:r>
      <w:r>
        <w:rPr>
          <w:rFonts w:cs="Arial"/>
          <w:sz w:val="22"/>
        </w:rPr>
        <w:t xml:space="preserve">isk </w:t>
      </w:r>
      <w:r>
        <w:rPr>
          <w:rFonts w:cs="Arial"/>
          <w:b/>
          <w:sz w:val="22"/>
        </w:rPr>
        <w:t>E</w:t>
      </w:r>
      <w:r>
        <w:rPr>
          <w:rFonts w:cs="Arial"/>
          <w:sz w:val="22"/>
        </w:rPr>
        <w:t xml:space="preserve">valuation </w:t>
      </w:r>
      <w:r>
        <w:rPr>
          <w:rFonts w:cs="Arial"/>
          <w:b/>
          <w:sz w:val="22"/>
        </w:rPr>
        <w:t>Project”</w:t>
      </w:r>
      <w:r>
        <w:rPr>
          <w:rFonts w:cs="Arial"/>
          <w:sz w:val="22"/>
        </w:rPr>
        <w:t xml:space="preserve"> (skala ryzyka sercowo-naczyniowego) (SCORE) służy proste narzędzie pozwalające prognozować zgon w wyniku problemów sercowych lub krążeniowych (śmiertelna choroba sercowo-naczyniowa, </w:t>
      </w:r>
      <w:r>
        <w:rPr>
          <w:rFonts w:cs="Arial"/>
          <w:b/>
          <w:sz w:val="22"/>
        </w:rPr>
        <w:t>c</w:t>
      </w:r>
      <w:r>
        <w:rPr>
          <w:rFonts w:cs="Arial"/>
          <w:sz w:val="22"/>
        </w:rPr>
        <w:t>ardio</w:t>
      </w:r>
      <w:r>
        <w:rPr>
          <w:rFonts w:cs="Arial"/>
          <w:b/>
          <w:sz w:val="22"/>
        </w:rPr>
        <w:t>v</w:t>
      </w:r>
      <w:r>
        <w:rPr>
          <w:rFonts w:cs="Arial"/>
          <w:sz w:val="22"/>
        </w:rPr>
        <w:t xml:space="preserve">ascular </w:t>
      </w:r>
      <w:r>
        <w:rPr>
          <w:rFonts w:cs="Arial"/>
          <w:b/>
          <w:sz w:val="22"/>
        </w:rPr>
        <w:t>d</w:t>
      </w:r>
      <w:r>
        <w:rPr>
          <w:rFonts w:cs="Arial"/>
          <w:sz w:val="22"/>
        </w:rPr>
        <w:t>isease, CVD) w ciągu 10 lat.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W danych projektu SCORE wykorzystano krajowe zestawy danych z Europy, pochodzące od około 250 000 osób, objętych kontrolą przez 3 mln pacjentolat.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Projekt bazuje na następujących czynnikach ryzyka: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Płeć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Wiek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Palenie ttytoniu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Skurczowe ciśnienie krwi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Łączne stężenie cholesterolu.</w:t>
      </w:r>
    </w:p>
    <w:p w:rsidR="008C1850" w:rsidRPr="008C1850" w:rsidRDefault="008C1850" w:rsidP="008C1850">
      <w:pPr>
        <w:rPr>
          <w:rFonts w:cs="Arial"/>
          <w:sz w:val="22"/>
        </w:rPr>
      </w:pPr>
    </w:p>
    <w:p w:rsidR="008C1850" w:rsidRDefault="008C1850" w:rsidP="008C1850">
      <w:pPr>
        <w:rPr>
          <w:rFonts w:eastAsia="Arial Unicode MS" w:cs="Arial"/>
          <w:sz w:val="22"/>
          <w:lang w:val="en-US"/>
        </w:rPr>
      </w:pPr>
      <w:r>
        <w:rPr>
          <w:rFonts w:eastAsia="Arial Unicode MS" w:cs="Arial"/>
          <w:sz w:val="22"/>
        </w:rPr>
        <w:t>Próg ryzyka zdefiniowano na poziomie ≥ 5% (większe lub równe 5 procentom); oznacza to, że co najmniej 5 ze 100 osób umrze w ciągu 10 lat.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Przykład:</w:t>
      </w:r>
    </w:p>
    <w:p w:rsidR="008C1850" w:rsidRPr="008C1850" w:rsidRDefault="008C1850" w:rsidP="008C1850">
      <w:pPr>
        <w:rPr>
          <w:rFonts w:cs="Arial"/>
          <w:sz w:val="22"/>
        </w:rPr>
      </w:pPr>
      <w:r>
        <w:rPr>
          <w:rFonts w:cs="Arial"/>
          <w:sz w:val="22"/>
        </w:rPr>
        <w:t>40-letni mężczyzna, palacz, zgłasza się na roczne badania kontrolne. Badania wykazują:</w:t>
      </w:r>
    </w:p>
    <w:p w:rsidR="008C1850" w:rsidRPr="008C1850" w:rsidRDefault="008C1850" w:rsidP="008C1850">
      <w:pPr>
        <w:numPr>
          <w:ilvl w:val="0"/>
          <w:numId w:val="15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Jego ciśnienie krwi wynosi 160 (skurczowe)/90 (rozkurczowe) (mm Hg) — zakres prawidłowych wartości ciśnienia krwi obejmuje od 90/60 do 140/90 (mm Hg).</w:t>
      </w:r>
    </w:p>
    <w:p w:rsid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Jego stężenie cholesterolu wynosi 8 (mmol/l) — prawidłowe stężenie cholesterolu jest niższe niż 5,2 (mmol/l).</w:t>
      </w:r>
    </w:p>
    <w:p w:rsidR="008C1850" w:rsidRP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 xml:space="preserve">Odnosząc te dane do schematu SCORE (zob. </w:t>
      </w:r>
      <w:r>
        <w:rPr>
          <w:rFonts w:cs="Arial"/>
          <w:b/>
          <w:sz w:val="22"/>
        </w:rPr>
        <w:t>Rysunek 1</w:t>
      </w:r>
      <w:r>
        <w:rPr>
          <w:rFonts w:cs="Arial"/>
          <w:sz w:val="22"/>
        </w:rPr>
        <w:t>) można się przekonać, że w tym wypadku ryzyko zgonu z powodu choroby sercowo-naczyniowej wynosi 3% w ciągu 10 lat. Załóżmy, że mężczyzna nie zmieni nawyków i będzie nadal żyć w taki sam sposób jak dotychczas.  Można prognozować, że kiedy osiągnie 60 lat, jego ryzyko zgonu z powodu choroby sercowo-naczyniowej dramatycznie wzrośnie do 24%. Innymi słowy, umrą 24 osoby na 100 z takim poziomem ryzyka.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Na podstawie tych wyników lekarz i 40-letni pacjent powinni określić działania zmierzające do poprawy stanu zdrowia tego ostatniego: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porada dietetyka i zmiana sposobu odżywiania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plan aktywności fizycznej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decyzja o zaprzestaniu palenia i pomoc w tym oraz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przepisanie leków.</w:t>
      </w:r>
    </w:p>
    <w:p w:rsidR="008C1850" w:rsidRPr="008C1850" w:rsidRDefault="008C1850" w:rsidP="008C1850">
      <w:pPr>
        <w:rPr>
          <w:rFonts w:cs="Arial"/>
          <w:sz w:val="22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Załóżmy, że plan został uzgodniony i 40-letni mężczyzna go przestrzega. Zmienia styl życia i ponownie stawia się na badania jako sześćdziesięciolatek. Nie pali, a jego dane dotyczące zdrowia są następujące:</w:t>
      </w:r>
    </w:p>
    <w:p w:rsidR="008C1850" w:rsidRPr="008C1850" w:rsidRDefault="008C1850" w:rsidP="008C1850">
      <w:pPr>
        <w:numPr>
          <w:ilvl w:val="0"/>
          <w:numId w:val="15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Jego ciśnienie krwi wynosi obecnie 140/80 (mm Hg) — jest w normie.</w:t>
      </w:r>
    </w:p>
    <w:p w:rsid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Jego stężenie cholesterolu spadło do 5 (mmol/l) — jest w normie.</w:t>
      </w:r>
    </w:p>
    <w:p w:rsidR="008C1850" w:rsidRPr="008C1850" w:rsidRDefault="008C1850" w:rsidP="008C1850">
      <w:pPr>
        <w:spacing w:before="0" w:after="200" w:line="276" w:lineRule="auto"/>
        <w:ind w:left="720"/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lastRenderedPageBreak/>
        <w:t xml:space="preserve">Stosując schemat SCORE (zob. </w:t>
      </w:r>
      <w:r>
        <w:rPr>
          <w:rFonts w:cs="Arial"/>
          <w:b/>
          <w:sz w:val="22"/>
        </w:rPr>
        <w:t>Rysunek 1</w:t>
      </w:r>
      <w:r>
        <w:rPr>
          <w:rFonts w:cs="Arial"/>
          <w:sz w:val="22"/>
        </w:rPr>
        <w:t>), można stwierdzić, że jego ryzyko zgonu z powodu choroby sercowo-naczyniowej wynosi obecnie 5%, co jest znacznie lepszym wynikiem niż 24% prognozowane w wypadku niewprowadzenia zmian stylu życia. Jest ważne, aby mężczyzna nadal przestrzegał zasad zdrowego stylu życia przyjętych w celu zminimalizowania ryzyka zgonu z powodu choroby sercowo-naczyniowej w starszym wieku.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50E48" w:rsidP="008C1850">
      <w:pPr>
        <w:rPr>
          <w:rFonts w:cs="Arial"/>
          <w:sz w:val="22"/>
        </w:rPr>
      </w:pPr>
      <w:r>
        <w:rPr>
          <w:rFonts w:cs="Arial"/>
          <w:noProof/>
          <w:sz w:val="22"/>
          <w:lang w:val="en-US" w:eastAsia="en-US" w:bidi="ar-SA"/>
        </w:rPr>
        <w:drawing>
          <wp:inline distT="0" distB="0" distL="0" distR="0">
            <wp:extent cx="5759450" cy="431958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b/>
          <w:sz w:val="22"/>
        </w:rPr>
        <w:t>Rysunek 1</w:t>
      </w:r>
      <w:r>
        <w:rPr>
          <w:rFonts w:cs="Arial"/>
          <w:sz w:val="22"/>
        </w:rPr>
        <w:t xml:space="preserve">: </w:t>
      </w:r>
      <w:r>
        <w:rPr>
          <w:rFonts w:cs="Arial"/>
          <w:b/>
          <w:sz w:val="22"/>
        </w:rPr>
        <w:t>Schemat SCORE służący do prognozowania całkowitego ryzyka zgonu z powodu choroby sercowo-naczyniowej w ciągu 10 lat, uwzględniający wiek, płeć, palenie tytoniu, ciśnienie skurczowe krwi i łączne stężenia cholesterolu (źródło: European Society of Cardiology).</w:t>
      </w:r>
    </w:p>
    <w:p w:rsidR="008C1850" w:rsidRDefault="008C1850" w:rsidP="008C1850">
      <w:pPr>
        <w:rPr>
          <w:rFonts w:cs="Arial"/>
          <w:sz w:val="22"/>
          <w:lang w:val="en-US"/>
        </w:rPr>
      </w:pPr>
      <w:bookmarkStart w:id="1" w:name="h.gjdgxs" w:colFirst="0" w:colLast="0"/>
      <w:bookmarkEnd w:id="1"/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Ten przykład pokazuje, jak różne czynniki, takie jak płeć, wiek, palenie tytoniu, stężenie cholesterolu i ciśnienie krwi wpływają na ryzyko zgonu z powodu choroby sercowo-naczyniowej. Używając schematu SCORE, lekarz może wizualnie przedstawić pacjentowi, co stanie się, jeśli niekorzystne nawyki lub styl życia nie zostaną zmienione. Następnie lekarz i pacjent mogą wspólnie opracować plan działania. Jego przestrzeganie może spowodować istotne zmniejszenie wpływu niebezpiecznych czynników, a tym samym obniżenie ryzyka zgonu z powodu choroby sercowo-naczyniowej.</w:t>
      </w:r>
    </w:p>
    <w:p w:rsidR="008C1850" w:rsidRDefault="008C1850" w:rsidP="008C1850">
      <w:pPr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b/>
          <w:sz w:val="22"/>
        </w:rPr>
        <w:t>Piśmiennictwo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C84033" w:rsidRPr="008C1850" w:rsidRDefault="008C1850" w:rsidP="008C185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European guidelines on cardiovascular disease prevention in clinical practice (2012). </w:t>
      </w:r>
      <w:r>
        <w:rPr>
          <w:rFonts w:ascii="Arial" w:hAnsi="Arial" w:cs="Arial"/>
          <w:i/>
        </w:rPr>
        <w:t>European Heart Journal</w:t>
      </w:r>
      <w:r>
        <w:rPr>
          <w:rFonts w:ascii="Arial" w:hAnsi="Arial" w:cs="Arial"/>
        </w:rPr>
        <w:t xml:space="preserve"> 33, 1635-1701.</w:t>
      </w:r>
    </w:p>
    <w:sectPr w:rsidR="00C84033" w:rsidRPr="008C1850" w:rsidSect="008F1493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73" w:rsidRDefault="00B84373" w:rsidP="00527DB1">
      <w:pPr>
        <w:spacing w:before="0"/>
      </w:pPr>
      <w:r>
        <w:separator/>
      </w:r>
    </w:p>
  </w:endnote>
  <w:endnote w:type="continuationSeparator" w:id="0">
    <w:p w:rsidR="00B84373" w:rsidRDefault="00B84373" w:rsidP="00527DB1">
      <w:pPr>
        <w:spacing w:before="0"/>
      </w:pPr>
      <w:r>
        <w:continuationSeparator/>
      </w:r>
    </w:p>
  </w:endnote>
  <w:endnote w:type="continuationNotice" w:id="1">
    <w:p w:rsidR="00B84373" w:rsidRDefault="00B8437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FA019B">
        <w:pPr>
          <w:pStyle w:val="Footer"/>
          <w:jc w:val="right"/>
        </w:pPr>
        <w:r>
          <w:rPr>
            <w:noProof/>
            <w:lang w:val="en-US" w:eastAsia="en-US" w:bidi="ar-SA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5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D80E60">
          <w:instrText xml:space="preserve"> PAGE   \* MERGEFORMAT </w:instrText>
        </w:r>
        <w:r>
          <w:fldChar w:fldCharType="separate"/>
        </w:r>
        <w:r w:rsidR="00FE7B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73" w:rsidRDefault="00B84373" w:rsidP="00527DB1">
      <w:pPr>
        <w:spacing w:before="0"/>
      </w:pPr>
      <w:r>
        <w:separator/>
      </w:r>
    </w:p>
  </w:footnote>
  <w:footnote w:type="continuationSeparator" w:id="0">
    <w:p w:rsidR="00B84373" w:rsidRDefault="00B84373" w:rsidP="00527DB1">
      <w:pPr>
        <w:spacing w:before="0"/>
      </w:pPr>
      <w:r>
        <w:continuationSeparator/>
      </w:r>
    </w:p>
  </w:footnote>
  <w:footnote w:type="continuationNotice" w:id="1">
    <w:p w:rsidR="00B84373" w:rsidRDefault="00B8437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35" w:rsidRDefault="00FE7B9E" w:rsidP="00FA019B">
    <w:pPr>
      <w:pStyle w:val="Header"/>
      <w:tabs>
        <w:tab w:val="clear" w:pos="9072"/>
        <w:tab w:val="left" w:pos="1279"/>
        <w:tab w:val="right" w:pos="907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95pt;margin-top:34.75pt;width:109.35pt;height:19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pIrUCAAC5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" filled="f" stroked="f">
          <v:textbox>
            <w:txbxContent>
              <w:p w:rsidR="00ED1139" w:rsidRPr="00047E36" w:rsidRDefault="00ED1139" w:rsidP="00ED1139">
                <w:pPr>
                  <w:pStyle w:val="Footer"/>
                </w:pPr>
                <w:r>
                  <w:t>http://www.eupati.eu</w:t>
                </w:r>
              </w:p>
              <w:p w:rsidR="00ED1139" w:rsidRDefault="00ED1139"/>
            </w:txbxContent>
          </v:textbox>
        </v:shape>
      </w:pict>
    </w:r>
    <w:r>
      <w:pict>
        <v:shape id="Text Box 3" o:spid="_x0000_s4097" type="#_x0000_t202" style="position:absolute;margin-left:94.4pt;margin-top:1.65pt;width:184.2pt;height:36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BXbYCAADA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" filled="f" stroked="f">
          <v:textbox>
            <w:txbxContent>
              <w:p w:rsidR="00FA019B" w:rsidRPr="00ED1139" w:rsidRDefault="00FA019B" w:rsidP="00ED1139">
                <w:pPr>
                  <w:rPr>
                    <w:color w:val="551A8B"/>
                    <w:sz w:val="24"/>
                    <w:szCs w:val="12"/>
                    <w:lang w:val="en-IE"/>
                  </w:rPr>
                </w:pPr>
                <w:r>
                  <w:rPr>
                    <w:sz w:val="24"/>
                    <w:szCs w:val="12"/>
                  </w:rPr>
                  <w:t>Europejska</w:t>
                </w:r>
                <w:r>
                  <w:rPr>
                    <w:color w:val="551A8B"/>
                    <w:sz w:val="24"/>
                    <w:szCs w:val="12"/>
                  </w:rPr>
                  <w:t xml:space="preserve"> </w:t>
                </w:r>
                <w:r>
                  <w:rPr>
                    <w:color w:val="022F68"/>
                    <w:sz w:val="24"/>
                    <w:szCs w:val="12"/>
                  </w:rPr>
                  <w:t>Akademia Pacjentów</w:t>
                </w:r>
                <w:r>
                  <w:rPr>
                    <w:color w:val="551A8B"/>
                    <w:sz w:val="24"/>
                    <w:szCs w:val="12"/>
                  </w:rPr>
                  <w:t xml:space="preserve"> </w:t>
                </w:r>
                <w:r>
                  <w:rPr>
                    <w:sz w:val="24"/>
                    <w:szCs w:val="12"/>
                  </w:rPr>
                  <w:t>dotycząca innowacji terapeutycznych</w:t>
                </w:r>
              </w:p>
              <w:p w:rsidR="00FA019B" w:rsidRPr="00ED1139" w:rsidRDefault="00FA019B" w:rsidP="00ED1139">
                <w:pPr>
                  <w:rPr>
                    <w:sz w:val="24"/>
                    <w:szCs w:val="12"/>
                  </w:rPr>
                </w:pPr>
              </w:p>
            </w:txbxContent>
          </v:textbox>
        </v:shape>
      </w:pict>
    </w:r>
    <w:r w:rsidR="00671F86">
      <w:rPr>
        <w:noProof/>
        <w:lang w:val="en-US" w:eastAsia="en-US" w:bidi="ar-SA"/>
      </w:rPr>
      <w:drawing>
        <wp:inline distT="0" distB="0" distL="0" distR="0">
          <wp:extent cx="1057238" cy="589658"/>
          <wp:effectExtent l="19050" t="0" r="0" b="0"/>
          <wp:docPr id="4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F86">
      <w:tab/>
    </w:r>
    <w:r w:rsidR="00671F86">
      <w:tab/>
    </w:r>
    <w:r w:rsidR="00671F86">
      <w:tab/>
    </w:r>
  </w:p>
  <w:p w:rsidR="001C1135" w:rsidRDefault="001C1135">
    <w:pPr>
      <w:pStyle w:val="Header"/>
    </w:pPr>
  </w:p>
  <w:p w:rsidR="00047E36" w:rsidRDefault="0004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F85295"/>
    <w:multiLevelType w:val="hybridMultilevel"/>
    <w:tmpl w:val="C8E0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09F1"/>
    <w:multiLevelType w:val="multilevel"/>
    <w:tmpl w:val="46D6E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●.%2"/>
      <w:lvlJc w:val="left"/>
      <w:pPr>
        <w:ind w:left="501" w:firstLine="141"/>
      </w:pPr>
    </w:lvl>
    <w:lvl w:ilvl="2">
      <w:start w:val="1"/>
      <w:numFmt w:val="decimal"/>
      <w:lvlText w:val="●.%2.%3"/>
      <w:lvlJc w:val="left"/>
      <w:pPr>
        <w:ind w:left="1080" w:firstLine="360"/>
      </w:pPr>
    </w:lvl>
    <w:lvl w:ilvl="3">
      <w:start w:val="1"/>
      <w:numFmt w:val="decimal"/>
      <w:lvlText w:val="●.%2.%3.%4"/>
      <w:lvlJc w:val="left"/>
      <w:pPr>
        <w:ind w:left="1080" w:firstLine="360"/>
      </w:pPr>
    </w:lvl>
    <w:lvl w:ilvl="4">
      <w:start w:val="1"/>
      <w:numFmt w:val="decimal"/>
      <w:lvlText w:val="●.%2.%3.%4.%5"/>
      <w:lvlJc w:val="left"/>
      <w:pPr>
        <w:ind w:left="1440" w:firstLine="360"/>
      </w:pPr>
    </w:lvl>
    <w:lvl w:ilvl="5">
      <w:start w:val="1"/>
      <w:numFmt w:val="decimal"/>
      <w:lvlText w:val="●.%2.%3.%4.%5.%6"/>
      <w:lvlJc w:val="left"/>
      <w:pPr>
        <w:ind w:left="1440" w:firstLine="360"/>
      </w:pPr>
    </w:lvl>
    <w:lvl w:ilvl="6">
      <w:start w:val="1"/>
      <w:numFmt w:val="decimal"/>
      <w:lvlText w:val="●.%2.%3.%4.%5.%6.%7"/>
      <w:lvlJc w:val="left"/>
      <w:pPr>
        <w:ind w:left="1800" w:firstLine="360"/>
      </w:pPr>
    </w:lvl>
    <w:lvl w:ilvl="7">
      <w:start w:val="1"/>
      <w:numFmt w:val="decimal"/>
      <w:lvlText w:val="●.%2.%3.%4.%5.%6.%7.%8"/>
      <w:lvlJc w:val="left"/>
      <w:pPr>
        <w:ind w:left="1800" w:firstLine="360"/>
      </w:pPr>
    </w:lvl>
    <w:lvl w:ilvl="8">
      <w:start w:val="1"/>
      <w:numFmt w:val="decimal"/>
      <w:lvlText w:val="●.%2.%3.%4.%5.%6.%7.%8.%9"/>
      <w:lvlJc w:val="left"/>
      <w:pPr>
        <w:ind w:left="2160" w:firstLine="360"/>
      </w:pPr>
    </w:lvl>
  </w:abstractNum>
  <w:abstractNum w:abstractNumId="7">
    <w:nsid w:val="3C2C1CFD"/>
    <w:multiLevelType w:val="hybridMultilevel"/>
    <w:tmpl w:val="A30A6A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1FB8"/>
    <w:multiLevelType w:val="multilevel"/>
    <w:tmpl w:val="C8E0B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90558"/>
    <w:multiLevelType w:val="multilevel"/>
    <w:tmpl w:val="560A5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2550"/>
    <w:multiLevelType w:val="multilevel"/>
    <w:tmpl w:val="2CDA1FF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71B9B"/>
    <w:multiLevelType w:val="multilevel"/>
    <w:tmpl w:val="6290A2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C1850"/>
    <w:rsid w:val="00000666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A2B24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F27F8"/>
    <w:rsid w:val="0033333B"/>
    <w:rsid w:val="003430FB"/>
    <w:rsid w:val="003440FF"/>
    <w:rsid w:val="00396DFD"/>
    <w:rsid w:val="003B2377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71F86"/>
    <w:rsid w:val="00684D01"/>
    <w:rsid w:val="0069371A"/>
    <w:rsid w:val="00694B23"/>
    <w:rsid w:val="00696A72"/>
    <w:rsid w:val="006E6477"/>
    <w:rsid w:val="006F4AD1"/>
    <w:rsid w:val="00701A73"/>
    <w:rsid w:val="00737119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50E48"/>
    <w:rsid w:val="008853D7"/>
    <w:rsid w:val="008C1850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95B70"/>
    <w:rsid w:val="00AA25FD"/>
    <w:rsid w:val="00AA6ACC"/>
    <w:rsid w:val="00AA6BFA"/>
    <w:rsid w:val="00AE517C"/>
    <w:rsid w:val="00AF1AD7"/>
    <w:rsid w:val="00B22CC3"/>
    <w:rsid w:val="00B26228"/>
    <w:rsid w:val="00B27E46"/>
    <w:rsid w:val="00B631C2"/>
    <w:rsid w:val="00B72BDB"/>
    <w:rsid w:val="00B84373"/>
    <w:rsid w:val="00BA5D8F"/>
    <w:rsid w:val="00BC194A"/>
    <w:rsid w:val="00BC767C"/>
    <w:rsid w:val="00BE0FEC"/>
    <w:rsid w:val="00BE669A"/>
    <w:rsid w:val="00C130C1"/>
    <w:rsid w:val="00C2703B"/>
    <w:rsid w:val="00C46A74"/>
    <w:rsid w:val="00C51DA5"/>
    <w:rsid w:val="00C53246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80E60"/>
    <w:rsid w:val="00D9392E"/>
    <w:rsid w:val="00DA22AF"/>
    <w:rsid w:val="00DC0EEA"/>
    <w:rsid w:val="00DC437D"/>
    <w:rsid w:val="00DD3E88"/>
    <w:rsid w:val="00DE69E3"/>
    <w:rsid w:val="00DE7632"/>
    <w:rsid w:val="00DF4245"/>
    <w:rsid w:val="00DF51A0"/>
    <w:rsid w:val="00E0121C"/>
    <w:rsid w:val="00E04C9C"/>
    <w:rsid w:val="00E22ACC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E7B9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eastAsia="Calibri" w:hAnsi="Calibri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>
      <w:lang w:val="en-I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eastAsia="Calibri" w:hAnsi="Calibri" w:cs="Times New Roman"/>
      <w:color w:val="000000"/>
      <w:sz w:val="22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  <w:lang w:val="en-I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  <w:lang w:val="en-I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Smit, Arjan</cp:lastModifiedBy>
  <cp:revision>4</cp:revision>
  <cp:lastPrinted>2014-10-24T13:00:00Z</cp:lastPrinted>
  <dcterms:created xsi:type="dcterms:W3CDTF">2015-06-23T10:06:00Z</dcterms:created>
  <dcterms:modified xsi:type="dcterms:W3CDTF">2015-10-09T11:27:00Z</dcterms:modified>
</cp:coreProperties>
</file>