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9" w:rsidRDefault="00ED1139" w:rsidP="005B2D2D">
      <w:pPr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>Scheda informativa: prevalenza</w:t>
      </w:r>
    </w:p>
    <w:p w:rsidR="005B2D2D" w:rsidRDefault="005B2D2D" w:rsidP="005B2D2D">
      <w:pPr>
        <w:spacing w:before="120" w:after="120"/>
        <w:rPr>
          <w:b/>
          <w:sz w:val="36"/>
          <w:szCs w:val="36"/>
        </w:rPr>
      </w:pPr>
    </w:p>
    <w:p w:rsidR="00FA6676" w:rsidRPr="00FA6676" w:rsidRDefault="00FA6676" w:rsidP="005B2D2D">
      <w:pPr>
        <w:spacing w:before="120" w:after="120"/>
        <w:rPr>
          <w:b/>
          <w:sz w:val="22"/>
        </w:rPr>
      </w:pPr>
      <w:r>
        <w:rPr>
          <w:b/>
          <w:sz w:val="22"/>
        </w:rPr>
        <w:t>Definizioni</w:t>
      </w:r>
    </w:p>
    <w:p w:rsidR="00FA6676" w:rsidRPr="00FA6676" w:rsidRDefault="00FA6676" w:rsidP="00FA6676">
      <w:pPr>
        <w:pStyle w:val="ColorfulList-Accent11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Evento sanitario:</w:t>
      </w:r>
      <w:r>
        <w:rPr>
          <w:rFonts w:ascii="Arial" w:hAnsi="Arial" w:cs="Arial"/>
          <w:szCs w:val="22"/>
        </w:rPr>
        <w:t xml:space="preserve"> una malattia, una lesione o un'altra condizione o attributo medico determinato. </w:t>
      </w:r>
    </w:p>
    <w:p w:rsidR="00FA6676" w:rsidRPr="00FA6676" w:rsidRDefault="00FA6676" w:rsidP="00FA6676">
      <w:pPr>
        <w:pStyle w:val="ColorfulList-Accent11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Popolazione:</w:t>
      </w:r>
      <w:r>
        <w:rPr>
          <w:rFonts w:ascii="Arial" w:hAnsi="Arial" w:cs="Arial"/>
          <w:szCs w:val="22"/>
        </w:rPr>
        <w:t xml:space="preserve"> il numero totale d'individui che vive in un determinato luogo (ad esempio, una città o una nazione) o il numero totale d'individui in un particolare gruppo (ad esempio, con la stessa occupazione o qualifica di studio).  </w:t>
      </w:r>
    </w:p>
    <w:p w:rsidR="00FA6676" w:rsidRPr="00FA6676" w:rsidRDefault="00FA6676" w:rsidP="00FA6676">
      <w:pPr>
        <w:pStyle w:val="ColorfulList-Accent11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Prevalenza:</w:t>
      </w:r>
      <w:r>
        <w:rPr>
          <w:rFonts w:ascii="Arial" w:hAnsi="Arial" w:cs="Arial"/>
          <w:szCs w:val="22"/>
        </w:rPr>
        <w:t xml:space="preserve"> il numero totale di casi di un evento sanitario in una determinata popolazione.</w:t>
      </w:r>
    </w:p>
    <w:p w:rsidR="00FA6676" w:rsidRPr="00FA6676" w:rsidRDefault="00FA6676" w:rsidP="00FA6676">
      <w:pPr>
        <w:pStyle w:val="ColorfulList-Accent11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Tasso di prevalenza:</w:t>
      </w:r>
      <w:r>
        <w:rPr>
          <w:rFonts w:ascii="Arial" w:hAnsi="Arial" w:cs="Arial"/>
          <w:szCs w:val="22"/>
        </w:rPr>
        <w:t xml:space="preserve"> la percentuale di popolazione che manifesta un evento sanitario:</w:t>
      </w:r>
    </w:p>
    <w:p w:rsidR="00FA6676" w:rsidRPr="00FA6676" w:rsidRDefault="00FA6676" w:rsidP="00FA6676">
      <w:pPr>
        <w:pStyle w:val="ColorfulList-Accent11"/>
        <w:numPr>
          <w:ilvl w:val="1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un specifico punto temporale (ad esempio, a una certa data), "</w:t>
      </w:r>
      <w:r>
        <w:rPr>
          <w:rFonts w:ascii="Arial" w:hAnsi="Arial" w:cs="Arial"/>
          <w:b/>
          <w:szCs w:val="22"/>
        </w:rPr>
        <w:t>prevalenza puntuale</w:t>
      </w:r>
      <w:r>
        <w:rPr>
          <w:rFonts w:ascii="Arial" w:hAnsi="Arial" w:cs="Arial"/>
          <w:szCs w:val="22"/>
        </w:rPr>
        <w:t>", oppure</w:t>
      </w:r>
    </w:p>
    <w:p w:rsidR="00FA6676" w:rsidRPr="00FA6676" w:rsidRDefault="00FA6676" w:rsidP="00FA6676">
      <w:pPr>
        <w:pStyle w:val="ColorfulList-Accent11"/>
        <w:numPr>
          <w:ilvl w:val="1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durante un determinato periodo di tempo (ad esempio, nel corso di 12 mesi), "</w:t>
      </w:r>
      <w:r>
        <w:rPr>
          <w:rFonts w:ascii="Arial" w:hAnsi="Arial" w:cs="Arial"/>
          <w:b/>
          <w:szCs w:val="22"/>
        </w:rPr>
        <w:t>prevalenza periodale</w:t>
      </w:r>
      <w:r>
        <w:rPr>
          <w:rFonts w:ascii="Arial" w:hAnsi="Arial" w:cs="Arial"/>
          <w:szCs w:val="22"/>
        </w:rPr>
        <w:t>".</w:t>
      </w:r>
    </w:p>
    <w:p w:rsidR="00FA6676" w:rsidRPr="00FA6676" w:rsidRDefault="00FA6676" w:rsidP="00FA6676">
      <w:pPr>
        <w:pStyle w:val="ColorfulList-Accent11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Proporzione:</w:t>
      </w:r>
      <w:r>
        <w:rPr>
          <w:rFonts w:ascii="Arial" w:hAnsi="Arial" w:cs="Arial"/>
          <w:szCs w:val="22"/>
        </w:rPr>
        <w:t xml:space="preserve">  il rapporto tra eventi sanitari che si verificano e la popolazione, spesso espresso sotto forma di frazione o di percentuale. Ad esempio, il numero di individui affetti da una malattia rispetto al numero totale di persone studiate.</w:t>
      </w:r>
    </w:p>
    <w:p w:rsidR="00FA6676" w:rsidRPr="00FA6676" w:rsidRDefault="00FA6676" w:rsidP="00FA6676">
      <w:pPr>
        <w:rPr>
          <w:rFonts w:cs="Arial"/>
          <w:b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>Di solito la prima domanda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 xml:space="preserve">circa un determinato evento sanitario sarà: quante persone sono colpite? </w:t>
      </w:r>
      <w:r>
        <w:rPr>
          <w:rFonts w:cs="Arial"/>
          <w:b/>
          <w:sz w:val="22"/>
        </w:rPr>
        <w:t>oppure</w:t>
      </w:r>
      <w:r>
        <w:rPr>
          <w:rFonts w:cs="Arial"/>
          <w:sz w:val="22"/>
        </w:rPr>
        <w:t xml:space="preserve"> qual è la prevalenza?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La risposta varierà secondo la popolazione che stiamo osservando. Supponiamo che in una nazione A si verifichino 10.000 casi e 20.000 casi in una nazione B. Potremmo affermare che il problema sanitario è molto più serio nella nazione B? Osserviamo la seguente tabella: </w:t>
      </w:r>
    </w:p>
    <w:p w:rsidR="00FA6676" w:rsidRPr="00FA6676" w:rsidRDefault="00FA6676" w:rsidP="00FA6676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9"/>
        <w:gridCol w:w="2879"/>
        <w:gridCol w:w="2880"/>
      </w:tblGrid>
      <w:tr w:rsidR="00FA6676" w:rsidRPr="00FA6676" w:rsidTr="00FA6676">
        <w:trPr>
          <w:trHeight w:val="473"/>
        </w:trPr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Nazione 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Nazione B</w:t>
            </w:r>
          </w:p>
        </w:tc>
      </w:tr>
      <w:tr w:rsidR="00FA6676" w:rsidRPr="00FA6676" w:rsidTr="00FA6676">
        <w:trPr>
          <w:trHeight w:val="775"/>
        </w:trPr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Individui affetti da un determinato evento sanitario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10,000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20,000</w:t>
            </w:r>
          </w:p>
        </w:tc>
      </w:tr>
      <w:tr w:rsidR="00FA6676" w:rsidRPr="00FA6676" w:rsidTr="00FA6676">
        <w:trPr>
          <w:trHeight w:val="824"/>
        </w:trPr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Popolazione totale della nazione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20,000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6676" w:rsidRPr="00FA6676" w:rsidRDefault="00FA6676" w:rsidP="00FA6676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200,000</w:t>
            </w:r>
          </w:p>
        </w:tc>
      </w:tr>
    </w:tbl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Nella nazione A, è affetto un totale di 10.000 individui in una popolazione di 20.000 persone, ciò significa che il 50% è colpito dall'evento sanitario.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Nella nazione B, è affetto un totale di 20.000 individui in una popolazione di 200.000 persone, ciò significa che il 10% è colpito dall'evento sanitario.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Il calcolo matematico sarebbe: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2279E6" w:rsidP="00FA6676">
      <w:pPr>
        <w:rPr>
          <w:rFonts w:eastAsia="MS Mincho" w:cs="Arial"/>
          <w:b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Numero di individui affetti da un evento sanitario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Popolazione totale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</w:rPr>
            <m:t>×100=</m:t>
          </m:r>
          <m:r>
            <m:rPr>
              <m:sty m:val="b"/>
            </m:rPr>
            <w:rPr>
              <w:rFonts w:ascii="Cambria Math" w:hAnsi="Cambria Math" w:cs="Arial"/>
              <w:sz w:val="22"/>
            </w:rPr>
            <m:t>% della popolazione affetta da un evento sanitario</m:t>
          </m:r>
        </m:oMath>
      </m:oMathPara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Con questa formula otteniamo informazioni riguardo alla percentuale di una popolazione affetta da un evento sanitario.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>Mentre la nostra prima impressione può essere che 20.000 sia due volte 10.000 (che è vero in effetti!), mettendo i numeri in relazione alla popolazione sappiamo ora di avere un'immagine molto diversa. .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>Conoscere questi elementi di base renderà più semplice comprendere il concetto di prevalenza. La prevalenza confronta il numero di persone con una certa caratteristica rispetto alla popolazione totale.</w:t>
      </w:r>
    </w:p>
    <w:p w:rsidR="00FA6676" w:rsidRPr="00FA6676" w:rsidRDefault="00FA6676" w:rsidP="00FA6676">
      <w:pPr>
        <w:rPr>
          <w:rFonts w:cs="Arial"/>
          <w:b/>
          <w:sz w:val="22"/>
        </w:rPr>
      </w:pPr>
    </w:p>
    <w:p w:rsidR="00FA6676" w:rsidRPr="00FA6676" w:rsidRDefault="00FA6676" w:rsidP="00FA667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Esempio: il colore dei capelli </w:t>
      </w: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>Immaginate di aver organizzato qualche tempo fa una festa con amici. Rivedendo una foto di gruppo notate che alcuni dei vostri amici hanno i capelli rossi. Vi erano 100 invitati e 30 di loro avevano i capelli rossi: la prevalenza di capelli rossi alla festa era del 30%.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>Se parlassimo di un evento sanitario, chiederemmo: "Qual è la prevalenza di quell'evento sanitario?", ma il calcolo matematico sarebbe esattamente lo stesso. Potremmo esprimere la prevalenza come percentuali (qui 30%) o in alternativa come casi per 1.000 persone (qui 300 per 1.000).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Comorbidità (o comorbilità)</w:t>
      </w:r>
    </w:p>
    <w:p w:rsidR="00FA6676" w:rsidRPr="00FA6676" w:rsidRDefault="00FA6676" w:rsidP="00FA6676">
      <w:pPr>
        <w:rPr>
          <w:rFonts w:cs="Arial"/>
          <w:b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In una popolazione di 10.000 pazienti affetti da una certa malattia, è stato documentato che 50 persone sono affette anche da un'altra malattia. Tale fenomeno viene chiamato comorbidità oppure comorbilità. Qual è quindi la prevalenza della comorbidità in tale popolazione?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Il calcolo matematico sarebbe: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2279E6" w:rsidP="00FA6676">
      <w:pPr>
        <w:rPr>
          <w:rFonts w:eastAsia="MS Mincho" w:cs="Arial"/>
          <w:b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sz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numero di casi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popolazione</m:t>
              </m:r>
              <w:bookmarkStart w:id="0" w:name="_GoBack"/>
              <w:bookmarkEnd w:id="0"/>
            </m:den>
          </m:f>
          <m:r>
            <m:rPr>
              <m:sty m:val="b"/>
            </m:rPr>
            <w:rPr>
              <w:rFonts w:ascii="Cambria Math" w:hAnsi="Cambria Math" w:cs="Arial"/>
              <w:sz w:val="22"/>
            </w:rPr>
            <m:t>×100</m:t>
          </m:r>
        </m:oMath>
      </m:oMathPara>
    </w:p>
    <w:p w:rsidR="00FA6676" w:rsidRPr="00FA6676" w:rsidRDefault="00FA6676" w:rsidP="00FA6676">
      <w:pPr>
        <w:rPr>
          <w:rFonts w:cs="Arial"/>
          <w:b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Tale formula ci fornirà l'informazione in percentuale. Dividendo 50 per 10.000 e moltiplicando il risultato per 100 (per ottenere una percentuale), scopriamo che è colpito lo 0,5% della popolazione. Quindi la prevalenza della comorbidità nella nostra popolazione è 0,5%.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2279E6" w:rsidP="00FA6676">
      <w:pPr>
        <w:rPr>
          <w:rFonts w:eastAsia="MS Mincho" w:cs="Arial"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50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10.000</m:t>
              </m:r>
            </m:den>
          </m:f>
          <m:r>
            <w:rPr>
              <w:rFonts w:ascii="Cambria Math" w:hAnsi="Cambria Math" w:cs="Arial"/>
              <w:sz w:val="22"/>
            </w:rPr>
            <m:t>×100=0.5%</m:t>
          </m:r>
        </m:oMath>
      </m:oMathPara>
    </w:p>
    <w:p w:rsidR="00FA6676" w:rsidRPr="00FA6676" w:rsidRDefault="00FA6676" w:rsidP="00FA6676">
      <w:pPr>
        <w:rPr>
          <w:rFonts w:eastAsia="MS Mincho" w:cs="Arial"/>
          <w:sz w:val="22"/>
        </w:rPr>
      </w:pPr>
    </w:p>
    <w:p w:rsidR="00FA6676" w:rsidRPr="00FA6676" w:rsidRDefault="00FA6676" w:rsidP="00FA6676">
      <w:pPr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>Anziché esprimere la prevalenza come una percentuale, possiamo descriverla come il numero di persone colpite in una popolazione di dimensioni standard, ad esempio 1.000 persone. Quindi, calcoleremmo invece:</w:t>
      </w:r>
    </w:p>
    <w:p w:rsidR="00FA6676" w:rsidRPr="00FA6676" w:rsidRDefault="00FA6676" w:rsidP="00FA6676">
      <w:pPr>
        <w:rPr>
          <w:rFonts w:eastAsia="MS Mincho" w:cs="Arial"/>
          <w:sz w:val="22"/>
        </w:rPr>
      </w:pPr>
    </w:p>
    <w:p w:rsidR="00FA6676" w:rsidRPr="00FA6676" w:rsidRDefault="002279E6" w:rsidP="00FA6676">
      <w:pPr>
        <w:rPr>
          <w:rFonts w:eastAsia="MS Mincho" w:cs="Arial"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50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10.000</m:t>
              </m:r>
            </m:den>
          </m:f>
          <m:r>
            <w:rPr>
              <w:rFonts w:ascii="Cambria Math" w:hAnsi="Cambria Math" w:cs="Arial"/>
              <w:sz w:val="22"/>
            </w:rPr>
            <m:t>×1.000=5</m:t>
          </m:r>
        </m:oMath>
      </m:oMathPara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Ciò significa che per ogni 1.000 pazienti, 5 di loro presentano comorbidità.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Ricordate l'esempio della festa. La prevalenza è come descrivere una foto di gruppo: </w:t>
      </w:r>
    </w:p>
    <w:p w:rsidR="00FA6676" w:rsidRPr="00FA6676" w:rsidRDefault="00FA6676" w:rsidP="00FA6676">
      <w:pPr>
        <w:pStyle w:val="ColorfulList-Accent11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Quante persone è possibile vedere? Tale numero è la vostra popolazione. </w:t>
      </w:r>
    </w:p>
    <w:p w:rsidR="00FA6676" w:rsidRPr="00FA6676" w:rsidRDefault="00FA6676" w:rsidP="00FA6676">
      <w:pPr>
        <w:pStyle w:val="ColorfulList-Accent11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Quante persone condividono una certa caratteristica (ad esempio lo stesso colore di capelli)? Questo numero viene utilizzato per calcolare la prevalenza.</w:t>
      </w:r>
    </w:p>
    <w:p w:rsidR="00FA6676" w:rsidRDefault="00FA6676" w:rsidP="00FA6676">
      <w:pPr>
        <w:rPr>
          <w:rFonts w:cs="Arial"/>
          <w:sz w:val="22"/>
        </w:rPr>
      </w:pPr>
    </w:p>
    <w:p w:rsidR="0021686D" w:rsidRDefault="0021686D" w:rsidP="00FA6676">
      <w:pPr>
        <w:rPr>
          <w:rFonts w:cs="Arial"/>
          <w:sz w:val="22"/>
        </w:rPr>
      </w:pPr>
    </w:p>
    <w:p w:rsidR="0021686D" w:rsidRPr="00FA6676" w:rsidRDefault="0021686D" w:rsidP="00FA6676">
      <w:pPr>
        <w:rPr>
          <w:rFonts w:cs="Arial"/>
          <w:sz w:val="22"/>
        </w:rPr>
      </w:pPr>
    </w:p>
    <w:p w:rsidR="00FA6676" w:rsidRPr="00FA6676" w:rsidRDefault="00FA6676" w:rsidP="00FA667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Calcolo della prevalenza</w:t>
      </w:r>
    </w:p>
    <w:p w:rsidR="00FA6676" w:rsidRPr="00FA6676" w:rsidRDefault="00FA6676" w:rsidP="00FA6676">
      <w:pPr>
        <w:rPr>
          <w:rFonts w:cs="Arial"/>
          <w:b/>
          <w:sz w:val="22"/>
        </w:rPr>
      </w:pPr>
    </w:p>
    <w:p w:rsidR="00FA6676" w:rsidRPr="00FA6676" w:rsidRDefault="00FA6676" w:rsidP="00FA6676">
      <w:pPr>
        <w:rPr>
          <w:rFonts w:cs="Arial"/>
          <w:sz w:val="22"/>
        </w:rPr>
      </w:pPr>
      <w:r>
        <w:rPr>
          <w:rFonts w:cs="Arial"/>
          <w:sz w:val="22"/>
        </w:rPr>
        <w:t xml:space="preserve">In epidemiologia, abbiamo di fatto tre modi diversi per calcolare la prevalenza: </w:t>
      </w:r>
    </w:p>
    <w:p w:rsidR="00FA6676" w:rsidRPr="00FA6676" w:rsidRDefault="00FA6676" w:rsidP="00FA6676">
      <w:pPr>
        <w:rPr>
          <w:rFonts w:cs="Arial"/>
          <w:sz w:val="22"/>
        </w:rPr>
      </w:pPr>
    </w:p>
    <w:p w:rsidR="00FA6676" w:rsidRPr="00FA6676" w:rsidRDefault="00FA6676" w:rsidP="00FA6676">
      <w:pPr>
        <w:pStyle w:val="ColorfulList-Accent11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Prevalenza puntuale</w:t>
      </w:r>
      <w:r>
        <w:rPr>
          <w:rFonts w:ascii="Arial" w:hAnsi="Arial" w:cs="Arial"/>
          <w:szCs w:val="22"/>
        </w:rPr>
        <w:t xml:space="preserve">: il numero di casi di un evento sanitario in un certo momento. Ad esempio, in un'indagine sareste interrogati sulle vostre </w:t>
      </w:r>
      <w:r>
        <w:rPr>
          <w:rFonts w:ascii="Arial" w:hAnsi="Arial" w:cs="Arial"/>
          <w:b/>
          <w:szCs w:val="22"/>
        </w:rPr>
        <w:t>attuali</w:t>
      </w:r>
      <w:r>
        <w:rPr>
          <w:rFonts w:ascii="Arial" w:hAnsi="Arial" w:cs="Arial"/>
          <w:szCs w:val="22"/>
        </w:rPr>
        <w:t xml:space="preserve"> abitudini riguardo al fumo. </w:t>
      </w:r>
    </w:p>
    <w:p w:rsidR="00FA6676" w:rsidRPr="00FA6676" w:rsidRDefault="00FA6676" w:rsidP="00FA6676">
      <w:pPr>
        <w:pStyle w:val="ColorfulList-Accent11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Prevalenza periodale</w:t>
      </w:r>
      <w:r>
        <w:rPr>
          <w:rFonts w:ascii="Arial" w:hAnsi="Arial" w:cs="Arial"/>
          <w:szCs w:val="22"/>
        </w:rPr>
        <w:t xml:space="preserve">: il numero di casi di un evento sanitario relativo a un periodo di tempo, spesso 12 mesi. Ad esempio, in un'indagine vi chiederebbero se avete fumato </w:t>
      </w:r>
      <w:r>
        <w:rPr>
          <w:rFonts w:ascii="Arial" w:hAnsi="Arial" w:cs="Arial"/>
          <w:b/>
          <w:szCs w:val="22"/>
        </w:rPr>
        <w:t>durante gli ultimi 12 mesi</w:t>
      </w:r>
      <w:r>
        <w:rPr>
          <w:rFonts w:ascii="Arial" w:hAnsi="Arial" w:cs="Arial"/>
          <w:szCs w:val="22"/>
        </w:rPr>
        <w:t xml:space="preserve">. </w:t>
      </w:r>
    </w:p>
    <w:p w:rsidR="00FA6676" w:rsidRPr="00FA6676" w:rsidRDefault="00FA6676" w:rsidP="00FA6676">
      <w:pPr>
        <w:pStyle w:val="ColorfulList-Accent11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Prevalenza nel corso della vita</w:t>
      </w:r>
      <w:r>
        <w:rPr>
          <w:rFonts w:ascii="Arial" w:hAnsi="Arial" w:cs="Arial"/>
          <w:szCs w:val="22"/>
        </w:rPr>
        <w:t xml:space="preserve">: il numero di casi dell'evento sanitario relativamente all'intero periodo di vita. Ad esempio, in un'indagine vi chiederebbero se avete </w:t>
      </w:r>
      <w:r>
        <w:rPr>
          <w:rFonts w:ascii="Arial" w:hAnsi="Arial" w:cs="Arial"/>
          <w:b/>
          <w:szCs w:val="22"/>
        </w:rPr>
        <w:t>mai</w:t>
      </w:r>
      <w:r>
        <w:rPr>
          <w:rFonts w:ascii="Arial" w:hAnsi="Arial" w:cs="Arial"/>
          <w:szCs w:val="22"/>
        </w:rPr>
        <w:t xml:space="preserve"> fumato. </w:t>
      </w:r>
    </w:p>
    <w:p w:rsidR="00FA6676" w:rsidRPr="00FA6676" w:rsidRDefault="00FA6676" w:rsidP="005B2D2D">
      <w:pPr>
        <w:spacing w:before="120" w:after="120"/>
        <w:rPr>
          <w:sz w:val="22"/>
        </w:rPr>
      </w:pPr>
    </w:p>
    <w:sectPr w:rsidR="00FA6676" w:rsidRPr="00FA6676" w:rsidSect="008F1493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36" w:rsidRDefault="00355E36" w:rsidP="00527DB1">
      <w:pPr>
        <w:spacing w:before="0"/>
      </w:pPr>
      <w:r>
        <w:separator/>
      </w:r>
    </w:p>
  </w:endnote>
  <w:endnote w:type="continuationSeparator" w:id="0">
    <w:p w:rsidR="00355E36" w:rsidRDefault="00355E36" w:rsidP="00527DB1">
      <w:pPr>
        <w:spacing w:before="0"/>
      </w:pPr>
      <w:r>
        <w:continuationSeparator/>
      </w:r>
    </w:p>
  </w:endnote>
  <w:endnote w:type="continuationNotice" w:id="1">
    <w:p w:rsidR="00355E36" w:rsidRDefault="00355E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9B" w:rsidRDefault="005912E2" w:rsidP="00FA019B">
    <w:pPr>
      <w:pStyle w:val="Footer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-14605</wp:posOffset>
          </wp:positionV>
          <wp:extent cx="770890" cy="270510"/>
          <wp:effectExtent l="19050" t="0" r="0" b="0"/>
          <wp:wrapNone/>
          <wp:docPr id="6" name="Picture 1" descr="Description: 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9E6">
      <w:fldChar w:fldCharType="begin"/>
    </w:r>
    <w:r w:rsidR="002279E6">
      <w:instrText xml:space="preserve"> PAGE   \* MERGEFORMAT </w:instrText>
    </w:r>
    <w:r w:rsidR="002279E6">
      <w:fldChar w:fldCharType="separate"/>
    </w:r>
    <w:r w:rsidR="002279E6">
      <w:rPr>
        <w:noProof/>
      </w:rPr>
      <w:t>2</w:t>
    </w:r>
    <w:r w:rsidR="002279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36" w:rsidRDefault="00355E36" w:rsidP="00527DB1">
      <w:pPr>
        <w:spacing w:before="0"/>
      </w:pPr>
      <w:r>
        <w:separator/>
      </w:r>
    </w:p>
  </w:footnote>
  <w:footnote w:type="continuationSeparator" w:id="0">
    <w:p w:rsidR="00355E36" w:rsidRDefault="00355E36" w:rsidP="00527DB1">
      <w:pPr>
        <w:spacing w:before="0"/>
      </w:pPr>
      <w:r>
        <w:continuationSeparator/>
      </w:r>
    </w:p>
  </w:footnote>
  <w:footnote w:type="continuationNotice" w:id="1">
    <w:p w:rsidR="00355E36" w:rsidRDefault="00355E3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35" w:rsidRDefault="002279E6" w:rsidP="00FA019B">
    <w:pPr>
      <w:pStyle w:val="Header"/>
      <w:tabs>
        <w:tab w:val="clear" w:pos="9072"/>
        <w:tab w:val="left" w:pos="1279"/>
        <w:tab w:val="right" w:pos="907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5pt;margin-top:34.75pt;width:109.35pt;height:19.05pt;z-index:251658752" filled="f" stroked="f">
          <v:textbox>
            <w:txbxContent>
              <w:p w:rsidR="00ED1139" w:rsidRPr="00047E36" w:rsidRDefault="00ED1139" w:rsidP="00ED1139">
                <w:pPr>
                  <w:pStyle w:val="Footer"/>
                </w:pPr>
                <w:r>
                  <w:t>http://www.eupati.eu</w:t>
                </w:r>
              </w:p>
              <w:p w:rsidR="00ED1139" w:rsidRDefault="00ED1139"/>
            </w:txbxContent>
          </v:textbox>
        </v:shape>
      </w:pict>
    </w:r>
    <w:r>
      <w:pict>
        <v:shape id="_x0000_s2051" type="#_x0000_t202" style="position:absolute;margin-left:94.4pt;margin-top:1.65pt;width:184.2pt;height:36.85pt;z-index:251656704" filled="f" stroked="f">
          <v:textbox style="mso-next-textbox:#_x0000_s2051">
            <w:txbxContent>
              <w:p w:rsidR="00FA019B" w:rsidRPr="00ED1139" w:rsidRDefault="00FA019B" w:rsidP="00ED1139">
                <w:pPr>
                  <w:rPr>
                    <w:color w:val="551A8B"/>
                    <w:sz w:val="24"/>
                    <w:szCs w:val="12"/>
                    <w:lang w:val="en-IE"/>
                  </w:rPr>
                </w:pPr>
                <w:r>
                  <w:rPr>
                    <w:sz w:val="24"/>
                    <w:szCs w:val="12"/>
                  </w:rPr>
                  <w:t>Accademia</w:t>
                </w:r>
                <w:r>
                  <w:rPr>
                    <w:color w:val="551A8B"/>
                    <w:sz w:val="24"/>
                    <w:szCs w:val="12"/>
                  </w:rPr>
                  <w:t xml:space="preserve"> </w:t>
                </w:r>
                <w:r>
                  <w:rPr>
                    <w:color w:val="022F68"/>
                    <w:sz w:val="24"/>
                    <w:szCs w:val="12"/>
                  </w:rPr>
                  <w:t>europea dei pazienti</w:t>
                </w:r>
                <w:r>
                  <w:rPr>
                    <w:color w:val="551A8B"/>
                    <w:sz w:val="24"/>
                    <w:szCs w:val="12"/>
                  </w:rPr>
                  <w:t xml:space="preserve"> </w:t>
                </w:r>
                <w:r>
                  <w:rPr>
                    <w:sz w:val="24"/>
                    <w:szCs w:val="12"/>
                  </w:rPr>
                  <w:t>sull'innovazione terapeutica</w:t>
                </w:r>
              </w:p>
              <w:p w:rsidR="00FA019B" w:rsidRPr="00ED1139" w:rsidRDefault="00FA019B" w:rsidP="00ED1139">
                <w:pPr>
                  <w:rPr>
                    <w:sz w:val="24"/>
                    <w:szCs w:val="12"/>
                  </w:rPr>
                </w:pPr>
              </w:p>
            </w:txbxContent>
          </v:textbox>
        </v:shape>
      </w:pict>
    </w:r>
    <w:r w:rsidR="006E2F4B">
      <w:rPr>
        <w:noProof/>
        <w:lang w:val="en-US" w:eastAsia="en-US" w:bidi="ar-SA"/>
      </w:rPr>
      <w:drawing>
        <wp:inline distT="0" distB="0" distL="0" distR="0">
          <wp:extent cx="1057275" cy="590550"/>
          <wp:effectExtent l="19050" t="0" r="9525" b="0"/>
          <wp:docPr id="5" name="Bild 1" descr="Description: 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2F4B">
      <w:tab/>
    </w:r>
    <w:r w:rsidR="006E2F4B">
      <w:tab/>
    </w:r>
    <w:r w:rsidR="006E2F4B">
      <w:tab/>
    </w:r>
  </w:p>
  <w:p w:rsidR="001C1135" w:rsidRDefault="001C1135">
    <w:pPr>
      <w:pStyle w:val="Header"/>
    </w:pPr>
  </w:p>
  <w:p w:rsidR="00047E36" w:rsidRDefault="0004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793"/>
    <w:multiLevelType w:val="hybridMultilevel"/>
    <w:tmpl w:val="8FC2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7D8"/>
    <w:multiLevelType w:val="hybridMultilevel"/>
    <w:tmpl w:val="BFC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1CFD"/>
    <w:multiLevelType w:val="hybridMultilevel"/>
    <w:tmpl w:val="A30A6A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23E5A"/>
    <w:multiLevelType w:val="hybridMultilevel"/>
    <w:tmpl w:val="623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A6676"/>
    <w:rsid w:val="00000666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A2B24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1686D"/>
    <w:rsid w:val="00222A6E"/>
    <w:rsid w:val="002279E6"/>
    <w:rsid w:val="00274B8F"/>
    <w:rsid w:val="00280975"/>
    <w:rsid w:val="0029337E"/>
    <w:rsid w:val="002B4E86"/>
    <w:rsid w:val="002D4053"/>
    <w:rsid w:val="002E3270"/>
    <w:rsid w:val="002F27F8"/>
    <w:rsid w:val="0033333B"/>
    <w:rsid w:val="003430FB"/>
    <w:rsid w:val="003440FF"/>
    <w:rsid w:val="00355E36"/>
    <w:rsid w:val="00396DFD"/>
    <w:rsid w:val="003B2377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410A"/>
    <w:rsid w:val="00575AB1"/>
    <w:rsid w:val="005912E2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2F4B"/>
    <w:rsid w:val="006E6477"/>
    <w:rsid w:val="006F4AD1"/>
    <w:rsid w:val="00701A73"/>
    <w:rsid w:val="00737119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95B70"/>
    <w:rsid w:val="00AA25FD"/>
    <w:rsid w:val="00AA6ACC"/>
    <w:rsid w:val="00AA6BFA"/>
    <w:rsid w:val="00AE517C"/>
    <w:rsid w:val="00AF1AD7"/>
    <w:rsid w:val="00B22CC3"/>
    <w:rsid w:val="00B26228"/>
    <w:rsid w:val="00B27E46"/>
    <w:rsid w:val="00B631C2"/>
    <w:rsid w:val="00B72BDB"/>
    <w:rsid w:val="00BA5D8F"/>
    <w:rsid w:val="00BC194A"/>
    <w:rsid w:val="00BC767C"/>
    <w:rsid w:val="00BE0FEC"/>
    <w:rsid w:val="00BE669A"/>
    <w:rsid w:val="00C130C1"/>
    <w:rsid w:val="00C2703B"/>
    <w:rsid w:val="00C46A74"/>
    <w:rsid w:val="00C51DA5"/>
    <w:rsid w:val="00C53246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E69E3"/>
    <w:rsid w:val="00DE7632"/>
    <w:rsid w:val="00DF4245"/>
    <w:rsid w:val="00DF51A0"/>
    <w:rsid w:val="00E0121C"/>
    <w:rsid w:val="00E04C9C"/>
    <w:rsid w:val="00E22ACC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A6676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1F46"/>
    <w:pPr>
      <w:spacing w:before="60"/>
      <w:contextualSpacing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Tms Rm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ms Rm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ms Rmn" w:hAnsi="Courier" w:cs="Times New Roman"/>
        <w:b/>
        <w:bCs/>
      </w:rPr>
    </w:tblStylePr>
    <w:tblStylePr w:type="lastCol">
      <w:rPr>
        <w:rFonts w:ascii="Courier" w:eastAsia="Tms Rm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C130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hAnsi="Calibri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="Times New Roman"/>
      <w:b/>
      <w:bCs/>
      <w:i w:val="0"/>
      <w:color w:val="auto"/>
      <w:u w:val="none"/>
    </w:rPr>
  </w:style>
  <w:style w:type="character" w:customStyle="1" w:styleId="CommentSubjectChar">
    <w:name w:val="Comment Subject 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410919"/>
    <w:rPr>
      <w:rFonts w:ascii="Arial" w:hAnsi="Arial"/>
      <w:szCs w:val="22"/>
    </w:rPr>
  </w:style>
  <w:style w:type="character" w:customStyle="1" w:styleId="Heading1Char">
    <w:name w:val="Heading 1 Char"/>
    <w:link w:val="Heading1"/>
    <w:uiPriority w:val="9"/>
    <w:rsid w:val="00ED1139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9D9A1-0326-4375-B9AC-C2670845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Smit, Arjan</cp:lastModifiedBy>
  <cp:revision>4</cp:revision>
  <cp:lastPrinted>2014-10-24T15:00:00Z</cp:lastPrinted>
  <dcterms:created xsi:type="dcterms:W3CDTF">2015-06-16T12:05:00Z</dcterms:created>
  <dcterms:modified xsi:type="dcterms:W3CDTF">2015-09-30T13:08:00Z</dcterms:modified>
</cp:coreProperties>
</file>