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74D2D5" w14:textId="77777777" w:rsidR="00ED1139" w:rsidRPr="00A75CFE" w:rsidRDefault="00ED1139" w:rsidP="005B2D2D">
      <w:pPr>
        <w:spacing w:before="120" w:after="120"/>
        <w:rPr>
          <w:b/>
          <w:sz w:val="36"/>
          <w:szCs w:val="36"/>
        </w:rPr>
      </w:pPr>
      <w:r>
        <w:rPr>
          <w:b/>
          <w:sz w:val="36"/>
          <w:szCs w:val="36"/>
        </w:rPr>
        <w:t>Datenblatt: Beispiele für Translationale Forschung</w:t>
      </w:r>
    </w:p>
    <w:p w14:paraId="2DC90B8C" w14:textId="77777777" w:rsidR="005B2D2D" w:rsidRDefault="005B2D2D" w:rsidP="005B2D2D">
      <w:pPr>
        <w:spacing w:before="120" w:after="120"/>
        <w:rPr>
          <w:b/>
          <w:sz w:val="36"/>
          <w:szCs w:val="36"/>
        </w:rPr>
      </w:pPr>
    </w:p>
    <w:p w14:paraId="14CCCF5B" w14:textId="77777777" w:rsidR="00A75CFE" w:rsidRDefault="00A75CFE" w:rsidP="00A75CFE">
      <w:pPr>
        <w:rPr>
          <w:sz w:val="22"/>
        </w:rPr>
      </w:pPr>
      <w:r>
        <w:rPr>
          <w:sz w:val="22"/>
        </w:rPr>
        <w:t xml:space="preserve">Im Folgenden möchten wir einige konkretere Beispiele für Translationale Forschung vorstellen und erläutern, wie diese dazu beigetragen hat, Erkenntnisse aus der Grundlagenforschung in klinische Behandlungsformen umzusetzen: </w:t>
      </w:r>
    </w:p>
    <w:p w14:paraId="103B9334" w14:textId="77777777" w:rsidR="00A75CFE" w:rsidRPr="00A75CFE" w:rsidRDefault="00A75CFE" w:rsidP="00A75CFE">
      <w:pPr>
        <w:rPr>
          <w:sz w:val="22"/>
        </w:rPr>
      </w:pPr>
    </w:p>
    <w:p w14:paraId="588AEDC2" w14:textId="77777777" w:rsidR="00A75CFE" w:rsidRPr="00A75CFE" w:rsidRDefault="00A75CFE" w:rsidP="00A75CFE">
      <w:pPr>
        <w:numPr>
          <w:ilvl w:val="0"/>
          <w:numId w:val="12"/>
        </w:numPr>
        <w:spacing w:before="0" w:line="259" w:lineRule="auto"/>
        <w:ind w:hanging="360"/>
        <w:rPr>
          <w:sz w:val="22"/>
        </w:rPr>
      </w:pPr>
      <w:r>
        <w:rPr>
          <w:sz w:val="22"/>
        </w:rPr>
        <w:t xml:space="preserve">Die von Prof. Dr. Følling gemeinsam mit der Familie Egeland durchgeführten Forschungsarbeiten begründeten den langen Weg zur Entdeckung dessen, was wir heute über die </w:t>
      </w:r>
      <w:r>
        <w:rPr>
          <w:b/>
          <w:sz w:val="22"/>
        </w:rPr>
        <w:t>Phenylketonurie</w:t>
      </w:r>
      <w:r>
        <w:rPr>
          <w:sz w:val="22"/>
        </w:rPr>
        <w:t xml:space="preserve"> (PKU) wissen. </w:t>
      </w:r>
      <w:bookmarkStart w:id="0" w:name="_GoBack"/>
      <w:bookmarkEnd w:id="0"/>
      <w:r>
        <w:rPr>
          <w:sz w:val="22"/>
        </w:rPr>
        <w:t xml:space="preserve">PKU ist eine Stoffwechselstörung, die zu geistiger Behinderung, Anfällen und anderen schwerwiegenden medizinischen Problemen führen kann. Diese faszinierende Geschichte, die sich ereignete, noch bevor das Konzept der Translationalen Medizin überhaupt bekannt war, führte Ärzte, Biochemiker und Genetiker zur Entdeckung weiterer angeborener Stoffwechselerkrankungen, die ebenfalls neurologische Schäden verursachen können. </w:t>
      </w:r>
    </w:p>
    <w:p w14:paraId="64D00A55" w14:textId="77777777" w:rsidR="00A75CFE" w:rsidRPr="00A75CFE" w:rsidRDefault="00A75CFE" w:rsidP="00A75CFE">
      <w:pPr>
        <w:ind w:left="360"/>
        <w:rPr>
          <w:sz w:val="22"/>
        </w:rPr>
      </w:pPr>
    </w:p>
    <w:p w14:paraId="1C295D6F" w14:textId="77777777" w:rsidR="00A75CFE" w:rsidRPr="00A75CFE" w:rsidRDefault="00A75CFE" w:rsidP="00A75CFE">
      <w:pPr>
        <w:numPr>
          <w:ilvl w:val="0"/>
          <w:numId w:val="12"/>
        </w:numPr>
        <w:spacing w:before="0" w:after="160" w:line="259" w:lineRule="auto"/>
        <w:ind w:hanging="360"/>
        <w:rPr>
          <w:sz w:val="22"/>
        </w:rPr>
      </w:pPr>
      <w:r>
        <w:rPr>
          <w:sz w:val="22"/>
        </w:rPr>
        <w:t xml:space="preserve">Harry Dietz und seine Kollegen an der Johns Hopkins University behandelten Kinder mit dem </w:t>
      </w:r>
      <w:r>
        <w:rPr>
          <w:b/>
          <w:sz w:val="22"/>
        </w:rPr>
        <w:t>Marfan-Syndrom</w:t>
      </w:r>
      <w:r>
        <w:rPr>
          <w:sz w:val="22"/>
        </w:rPr>
        <w:t>. Im Rahmen ihrer Forschungen kamen sie zu der Erkenntnis, dass ein in den Vereinigten Staaten bereits zur Behandlung des hohen Blutdrucks zugelassenes Arzneimittel auch die bei Mäusen mit Marfan-Syndrom auftretenden Aortenaneurysmen verhindern konnte. Das Syndrom beeinträchtigt das Bindegewebe des Körpers, häufig auftretende Komplikationen sind Defekte der Herzklappen und der Aorta, die oftmals zu einem frühen Tod führen. Das Arzneimittel wurde in einer Gruppe von Kindern, die von diesem Syndrom betroffen waren, als Therapeutikum getestet. Dabei stellte sich heraus, dass es die Entwicklung der potenziell tödlichen Anomalien in der Aorta hemmt.</w:t>
      </w:r>
    </w:p>
    <w:p w14:paraId="79F23D25" w14:textId="77777777" w:rsidR="00A75CFE" w:rsidRPr="00A75CFE" w:rsidRDefault="00A75CFE" w:rsidP="00A75CFE">
      <w:pPr>
        <w:ind w:left="360"/>
        <w:rPr>
          <w:sz w:val="22"/>
        </w:rPr>
      </w:pPr>
    </w:p>
    <w:p w14:paraId="5D209BC4" w14:textId="77777777" w:rsidR="00A75CFE" w:rsidRPr="00A75CFE" w:rsidRDefault="00A75CFE" w:rsidP="00A75CFE">
      <w:pPr>
        <w:numPr>
          <w:ilvl w:val="0"/>
          <w:numId w:val="12"/>
        </w:numPr>
        <w:spacing w:before="0" w:after="160" w:line="259" w:lineRule="auto"/>
        <w:ind w:hanging="360"/>
        <w:contextualSpacing w:val="0"/>
        <w:rPr>
          <w:sz w:val="22"/>
        </w:rPr>
      </w:pPr>
      <w:r>
        <w:rPr>
          <w:sz w:val="22"/>
        </w:rPr>
        <w:t>Anant Madabhushi und Kollegen an der Rutgers University setzten bei Patienten mit Prostatatumoren im Frühstadium ausgeklügelte Bildverarbeitungsalgorithmen ein und analysierten mit diesen die Textur in hochaufgelösten MRT-Aufnahmen (</w:t>
      </w:r>
      <w:r>
        <w:rPr>
          <w:b/>
          <w:sz w:val="22"/>
        </w:rPr>
        <w:t>Magnetresonanztomographie</w:t>
      </w:r>
      <w:r>
        <w:rPr>
          <w:sz w:val="22"/>
        </w:rPr>
        <w:t xml:space="preserve">), um die Tumoren in einem frühen Stadium zu detektieren und zu lokalisieren. Dies führte zu einer im Vergleich zu anderen bestehenden Ansätzen empfindlicheren und zuverlässigeren Technik für die klinische Anwendung. </w:t>
      </w:r>
    </w:p>
    <w:p w14:paraId="47049AA0" w14:textId="77777777" w:rsidR="00A75CFE" w:rsidRPr="00A75CFE" w:rsidRDefault="00A75CFE" w:rsidP="00A75CFE">
      <w:pPr>
        <w:numPr>
          <w:ilvl w:val="0"/>
          <w:numId w:val="12"/>
        </w:numPr>
        <w:spacing w:before="0" w:after="160" w:line="259" w:lineRule="auto"/>
        <w:ind w:hanging="360"/>
        <w:contextualSpacing w:val="0"/>
        <w:rPr>
          <w:sz w:val="22"/>
        </w:rPr>
      </w:pPr>
      <w:r>
        <w:rPr>
          <w:sz w:val="22"/>
        </w:rPr>
        <w:t xml:space="preserve">Die Gruppe um James Tunnell an der University of Texas (TX, USA) entwickelte </w:t>
      </w:r>
      <w:r>
        <w:rPr>
          <w:b/>
          <w:sz w:val="22"/>
        </w:rPr>
        <w:t>Gold-Nanopartikel</w:t>
      </w:r>
      <w:r>
        <w:rPr>
          <w:sz w:val="22"/>
        </w:rPr>
        <w:t xml:space="preserve">, die gezielt gegen Krebszellen gerichtet werden können und die selbst bei vergleichsweise kleinen Tumoren den Nachweis mittels Fluoreszenzspektroskopie gestatten. Diese Partikel können anschließend mittels starken Lichts aktiviert werden, um den Tumor potenziell zu zerstören. Dieser Ansatz kombiniert Optische Bildgebung, Spektroskopie und Nanotechnologie zu einer Technik für die frühzeitige Diagnose und Behandlung von Krebs. </w:t>
      </w:r>
    </w:p>
    <w:p w14:paraId="16ACBF99" w14:textId="77777777" w:rsidR="00A75CFE" w:rsidRPr="00A75CFE" w:rsidRDefault="00A75CFE" w:rsidP="00A75CFE">
      <w:pPr>
        <w:numPr>
          <w:ilvl w:val="0"/>
          <w:numId w:val="12"/>
        </w:numPr>
        <w:spacing w:before="0" w:after="160" w:line="259" w:lineRule="auto"/>
        <w:ind w:hanging="360"/>
        <w:contextualSpacing w:val="0"/>
        <w:rPr>
          <w:sz w:val="22"/>
        </w:rPr>
      </w:pPr>
      <w:r>
        <w:rPr>
          <w:sz w:val="22"/>
        </w:rPr>
        <w:t xml:space="preserve">Um das Einsetzen der Erblindung zu verzögern, müssen viele Glaukom-Patienten mehrmals täglich Augentropfen anwenden. Diese anspruchsvolle Behandlungsform ist anfällig für Fehler, die eine effektive Behandlung der Erkrankung beeinträchtigen können. Die Arbeiten von Erin Lavik von der Case Western Reserve University führten zu einer Verbesserung der Darreichungsform, damit zu einer konsistenteren Dosierung des Glaukom-Arzneimittels und in der Folge schließlich zu einem besseren klinischen Ergebnis für den Patienten. Prof. Lavik entwickelte </w:t>
      </w:r>
      <w:r>
        <w:rPr>
          <w:b/>
          <w:sz w:val="22"/>
        </w:rPr>
        <w:t>Mikrosphären</w:t>
      </w:r>
      <w:r>
        <w:rPr>
          <w:sz w:val="22"/>
        </w:rPr>
        <w:t>, die ein Glaukom-Arzneimittel enthalten. Diese Mikrosphären werden einmalig in das Auge injiziert und geben dort über einen Zeitraum von einem Monat kontrollierte Mengen des Arzneimittels ab.</w:t>
      </w:r>
    </w:p>
    <w:p w14:paraId="7C3F1164" w14:textId="77777777" w:rsidR="00C84033" w:rsidRPr="00A75CFE" w:rsidRDefault="00C84033" w:rsidP="005B2D2D">
      <w:pPr>
        <w:spacing w:before="120" w:after="120"/>
        <w:rPr>
          <w:rFonts w:cs="Arial"/>
          <w:sz w:val="24"/>
        </w:rPr>
      </w:pPr>
    </w:p>
    <w:sectPr w:rsidR="00C84033" w:rsidRPr="00A75CFE" w:rsidSect="008F1493">
      <w:headerReference w:type="default" r:id="rId8"/>
      <w:footerReference w:type="default" r:id="rId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C25FF3" w14:textId="77777777" w:rsidR="00A75CFE" w:rsidRDefault="00A75CFE" w:rsidP="00527DB1">
      <w:pPr>
        <w:spacing w:before="0"/>
      </w:pPr>
      <w:r>
        <w:separator/>
      </w:r>
    </w:p>
  </w:endnote>
  <w:endnote w:type="continuationSeparator" w:id="0">
    <w:p w14:paraId="410564A0" w14:textId="77777777" w:rsidR="00A75CFE" w:rsidRDefault="00A75CFE" w:rsidP="00527DB1">
      <w:pPr>
        <w:spacing w:before="0"/>
      </w:pPr>
      <w:r>
        <w:continuationSeparator/>
      </w:r>
    </w:p>
  </w:endnote>
  <w:endnote w:type="continuationNotice" w:id="1">
    <w:p w14:paraId="101FA0FF" w14:textId="77777777" w:rsidR="00A75CFE" w:rsidRDefault="00A75CF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2516"/>
      <w:docPartObj>
        <w:docPartGallery w:val="Page Numbers (Bottom of Page)"/>
        <w:docPartUnique/>
      </w:docPartObj>
    </w:sdtPr>
    <w:sdtEndPr/>
    <w:sdtContent>
      <w:p w14:paraId="3B7ADEF0" w14:textId="77777777" w:rsidR="00FA019B" w:rsidRDefault="00ED1139" w:rsidP="00FA019B">
        <w:pPr>
          <w:pStyle w:val="Footer"/>
          <w:jc w:val="right"/>
        </w:pPr>
        <w:r>
          <w:drawing>
            <wp:anchor distT="0" distB="0" distL="114300" distR="114300" simplePos="0" relativeHeight="251663360" behindDoc="0" locked="0" layoutInCell="1" allowOverlap="1" wp14:anchorId="18ED315D" wp14:editId="5E8B80D2">
              <wp:simplePos x="0" y="0"/>
              <wp:positionH relativeFrom="column">
                <wp:posOffset>-54763</wp:posOffset>
              </wp:positionH>
              <wp:positionV relativeFrom="paragraph">
                <wp:posOffset>-15519</wp:posOffset>
              </wp:positionV>
              <wp:extent cx="770992" cy="270662"/>
              <wp:effectExtent l="19050" t="0" r="0" b="0"/>
              <wp:wrapNone/>
              <wp:docPr id="6" name="Picture 1" descr="by-nc-sa.png"/>
              <wp:cNvGraphicFramePr/>
              <a:graphic xmlns:a="http://schemas.openxmlformats.org/drawingml/2006/main">
                <a:graphicData uri="http://schemas.openxmlformats.org/drawingml/2006/picture">
                  <pic:pic xmlns:pic="http://schemas.openxmlformats.org/drawingml/2006/picture">
                    <pic:nvPicPr>
                      <pic:cNvPr id="9" name="Picture 8" descr="by-nc-sa.png"/>
                      <pic:cNvPicPr>
                        <a:picLocks noChangeAspect="1"/>
                      </pic:cNvPicPr>
                    </pic:nvPicPr>
                    <pic:blipFill>
                      <a:blip r:embed="rId1" cstate="print"/>
                      <a:stretch>
                        <a:fillRect/>
                      </a:stretch>
                    </pic:blipFill>
                    <pic:spPr>
                      <a:xfrm>
                        <a:off x="0" y="0"/>
                        <a:ext cx="770992" cy="270662"/>
                      </a:xfrm>
                      <a:prstGeom prst="rect">
                        <a:avLst/>
                      </a:prstGeom>
                    </pic:spPr>
                  </pic:pic>
                </a:graphicData>
              </a:graphic>
            </wp:anchor>
          </w:drawing>
        </w:r>
        <w:r>
          <w:fldChar w:fldCharType="begin"/>
        </w:r>
        <w:r w:rsidR="00594686">
          <w:instrText xml:space="preserve"> PAGE   \* MERGEFORMAT </w:instrText>
        </w:r>
        <w:r w:rsidR="00594686">
          <w:fldChar w:fldCharType="separate"/>
        </w:r>
        <w:r w:rsidR="00594686">
          <w:rPr>
            <w:noProof/>
          </w:rPr>
          <w:t>1</w:t>
        </w:r>
        <w: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8B2E1B" w14:textId="77777777" w:rsidR="00A75CFE" w:rsidRDefault="00A75CFE" w:rsidP="00527DB1">
      <w:pPr>
        <w:spacing w:before="0"/>
      </w:pPr>
      <w:r>
        <w:separator/>
      </w:r>
    </w:p>
  </w:footnote>
  <w:footnote w:type="continuationSeparator" w:id="0">
    <w:p w14:paraId="5600CBFC" w14:textId="77777777" w:rsidR="00A75CFE" w:rsidRDefault="00A75CFE" w:rsidP="00527DB1">
      <w:pPr>
        <w:spacing w:before="0"/>
      </w:pPr>
      <w:r>
        <w:continuationSeparator/>
      </w:r>
    </w:p>
  </w:footnote>
  <w:footnote w:type="continuationNotice" w:id="1">
    <w:p w14:paraId="12FA403E" w14:textId="77777777" w:rsidR="00A75CFE" w:rsidRDefault="00A75CFE">
      <w:pPr>
        <w:spacing w:before="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70853" w14:textId="77777777" w:rsidR="001C1135" w:rsidRDefault="00A75CFE" w:rsidP="00FA019B">
    <w:pPr>
      <w:pStyle w:val="Header"/>
      <w:tabs>
        <w:tab w:val="clear" w:pos="9072"/>
        <w:tab w:val="left" w:pos="1279"/>
        <w:tab w:val="right" w:pos="9070"/>
      </w:tabs>
    </w:pPr>
    <w:r>
      <mc:AlternateContent>
        <mc:Choice Requires="wps">
          <w:drawing>
            <wp:anchor distT="0" distB="0" distL="114300" distR="114300" simplePos="0" relativeHeight="251664384" behindDoc="0" locked="0" layoutInCell="1" allowOverlap="1" wp14:anchorId="0F67C995" wp14:editId="1BAD1320">
              <wp:simplePos x="0" y="0"/>
              <wp:positionH relativeFrom="column">
                <wp:posOffset>1206500</wp:posOffset>
              </wp:positionH>
              <wp:positionV relativeFrom="paragraph">
                <wp:posOffset>441325</wp:posOffset>
              </wp:positionV>
              <wp:extent cx="1388745" cy="241935"/>
              <wp:effectExtent l="0" t="254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9E66F" w14:textId="77777777" w:rsidR="00ED1139" w:rsidRPr="00047E36" w:rsidRDefault="00ED1139" w:rsidP="00ED1139">
                          <w:pPr>
                            <w:pStyle w:val="Footer"/>
                          </w:pPr>
                          <w:r>
                            <w:t>http://www.eupati.eu</w:t>
                          </w:r>
                        </w:p>
                        <w:p w14:paraId="4A6A0A9D" w14:textId="77777777" w:rsidR="00ED1139" w:rsidRDefault="00ED11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95pt;margin-top:34.75pt;width:109.35pt;height:1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" filled="f" stroked="f">
              <v:textbox>
                <w:txbxContent>
                  <w:p w14:paraId="28D9E66F" w14:textId="77777777" w:rsidR="00ED1139" w:rsidRPr="00047E36" w:rsidRDefault="00ED1139" w:rsidP="00ED1139">
                    <w:pPr>
                      <w:pStyle w:val="Footer"/>
                    </w:pPr>
                    <w:r>
                      <w:t>http://www.eupati.eu</w:t>
                    </w:r>
                  </w:p>
                  <w:p w14:paraId="4A6A0A9D" w14:textId="77777777" w:rsidR="00ED1139" w:rsidRDefault="00ED1139"/>
                </w:txbxContent>
              </v:textbox>
            </v:shape>
          </w:pict>
        </mc:Fallback>
      </mc:AlternateContent>
    </w:r>
    <w:r>
      <mc:AlternateContent>
        <mc:Choice Requires="wps">
          <w:drawing>
            <wp:anchor distT="0" distB="0" distL="114300" distR="114300" simplePos="0" relativeHeight="251661312" behindDoc="0" locked="0" layoutInCell="1" allowOverlap="1" wp14:anchorId="59C37CBA" wp14:editId="3B94DE10">
              <wp:simplePos x="0" y="0"/>
              <wp:positionH relativeFrom="column">
                <wp:posOffset>1198880</wp:posOffset>
              </wp:positionH>
              <wp:positionV relativeFrom="paragraph">
                <wp:posOffset>20955</wp:posOffset>
              </wp:positionV>
              <wp:extent cx="2339340" cy="467995"/>
              <wp:effectExtent l="3810" t="1270" r="635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40533" w14:textId="77777777" w:rsidR="00FA019B" w:rsidRPr="00ED1139" w:rsidRDefault="00FA019B" w:rsidP="00ED1139">
                          <w:pPr>
                            <w:rPr>
                              <w:color w:val="551A8B"/>
                              <w:sz w:val="24"/>
                              <w:szCs w:val="12"/>
                              <w:lang w:val="en-IE"/>
                            </w:rPr>
                          </w:pPr>
                          <w:r>
                            <w:rPr>
                              <w:sz w:val="24"/>
                              <w:szCs w:val="12"/>
                            </w:rPr>
                            <w:t>Europäische</w:t>
                          </w:r>
                          <w:r>
                            <w:rPr>
                              <w:color w:val="551A8B"/>
                              <w:sz w:val="24"/>
                              <w:szCs w:val="12"/>
                            </w:rPr>
                            <w:t xml:space="preserve"> </w:t>
                          </w:r>
                          <w:r>
                            <w:rPr>
                              <w:color w:val="022F68"/>
                              <w:sz w:val="24"/>
                              <w:szCs w:val="12"/>
                            </w:rPr>
                            <w:t>Patientenakademie</w:t>
                          </w:r>
                          <w:r>
                            <w:rPr>
                              <w:color w:val="551A8B"/>
                              <w:sz w:val="24"/>
                              <w:szCs w:val="12"/>
                            </w:rPr>
                            <w:t xml:space="preserve"> </w:t>
                          </w:r>
                          <w:r>
                            <w:rPr>
                              <w:sz w:val="24"/>
                              <w:szCs w:val="12"/>
                            </w:rPr>
                            <w:t>zu Therapeutischen Innovationen</w:t>
                          </w:r>
                        </w:p>
                        <w:p w14:paraId="0E981FA4" w14:textId="77777777" w:rsidR="00FA019B" w:rsidRPr="00ED1139" w:rsidRDefault="00FA019B" w:rsidP="00ED1139">
                          <w:pPr>
                            <w:rPr>
                              <w:sz w:val="24"/>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94.4pt;margin-top:1.65pt;width:184.2pt;height:3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" filled="f" stroked="f">
              <v:textbox>
                <w:txbxContent>
                  <w:p w14:paraId="09940533" w14:textId="77777777" w:rsidR="00FA019B" w:rsidRPr="00ED1139" w:rsidRDefault="00FA019B" w:rsidP="00ED1139">
                    <w:pPr>
                      <w:rPr>
                        <w:color w:val="551A8B"/>
                        <w:sz w:val="24"/>
                        <w:szCs w:val="12"/>
                        <w:lang w:val="en-IE"/>
                      </w:rPr>
                    </w:pPr>
                    <w:r>
                      <w:rPr>
                        <w:sz w:val="24"/>
                        <w:szCs w:val="12"/>
                      </w:rPr>
                      <w:t>Europäische</w:t>
                    </w:r>
                    <w:r>
                      <w:rPr>
                        <w:color w:val="551A8B"/>
                        <w:sz w:val="24"/>
                        <w:szCs w:val="12"/>
                      </w:rPr>
                      <w:t xml:space="preserve"> </w:t>
                    </w:r>
                    <w:r>
                      <w:rPr>
                        <w:color w:val="022F68"/>
                        <w:sz w:val="24"/>
                        <w:szCs w:val="12"/>
                      </w:rPr>
                      <w:t>Patientenakademie</w:t>
                    </w:r>
                    <w:r>
                      <w:rPr>
                        <w:color w:val="551A8B"/>
                        <w:sz w:val="24"/>
                        <w:szCs w:val="12"/>
                      </w:rPr>
                      <w:t xml:space="preserve"> </w:t>
                    </w:r>
                    <w:r>
                      <w:rPr>
                        <w:sz w:val="24"/>
                        <w:szCs w:val="12"/>
                      </w:rPr>
                      <w:t>zu Therapeutischen Innovationen</w:t>
                    </w:r>
                  </w:p>
                  <w:p w14:paraId="0E981FA4" w14:textId="77777777" w:rsidR="00FA019B" w:rsidRPr="00ED1139" w:rsidRDefault="00FA019B" w:rsidP="00ED1139">
                    <w:pPr>
                      <w:rPr>
                        <w:sz w:val="24"/>
                        <w:szCs w:val="12"/>
                      </w:rPr>
                    </w:pPr>
                  </w:p>
                </w:txbxContent>
              </v:textbox>
            </v:shape>
          </w:pict>
        </mc:Fallback>
      </mc:AlternateContent>
    </w:r>
    <w:r>
      <w:drawing>
        <wp:inline distT="0" distB="0" distL="0" distR="0" wp14:anchorId="5917D444" wp14:editId="02372759">
          <wp:extent cx="1057238" cy="589658"/>
          <wp:effectExtent l="19050" t="0" r="0" b="0"/>
          <wp:docPr id="7" name="Bild 1" descr="Beschreibung: EUPATI-Logo-web-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EUPATI-Logo-web-update"/>
                  <pic:cNvPicPr>
                    <a:picLocks noChangeAspect="1" noChangeArrowheads="1"/>
                  </pic:cNvPicPr>
                </pic:nvPicPr>
                <pic:blipFill>
                  <a:blip r:embed="rId1"/>
                  <a:srcRect b="20216"/>
                  <a:stretch>
                    <a:fillRect/>
                  </a:stretch>
                </pic:blipFill>
                <pic:spPr bwMode="auto">
                  <a:xfrm>
                    <a:off x="0" y="0"/>
                    <a:ext cx="1055200" cy="588521"/>
                  </a:xfrm>
                  <a:prstGeom prst="rect">
                    <a:avLst/>
                  </a:prstGeom>
                  <a:noFill/>
                  <a:ln w="9525">
                    <a:noFill/>
                    <a:miter lim="800000"/>
                    <a:headEnd/>
                    <a:tailEnd/>
                  </a:ln>
                </pic:spPr>
              </pic:pic>
            </a:graphicData>
          </a:graphic>
        </wp:inline>
      </w:drawing>
    </w:r>
    <w:r>
      <w:tab/>
      <w:tab/>
      <w:tab/>
    </w:r>
  </w:p>
  <w:p w14:paraId="56274F5D" w14:textId="77777777" w:rsidR="001C1135" w:rsidRDefault="001C1135">
    <w:pPr>
      <w:pStyle w:val="Header"/>
    </w:pPr>
  </w:p>
  <w:p w14:paraId="3D1C7C53" w14:textId="77777777" w:rsidR="00047E36" w:rsidRDefault="00047E3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D3E8E"/>
    <w:multiLevelType w:val="hybridMultilevel"/>
    <w:tmpl w:val="3CC22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9AF20A4"/>
    <w:multiLevelType w:val="hybridMultilevel"/>
    <w:tmpl w:val="F98E5E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09C5EA9"/>
    <w:multiLevelType w:val="hybridMultilevel"/>
    <w:tmpl w:val="788AE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282A94"/>
    <w:multiLevelType w:val="multilevel"/>
    <w:tmpl w:val="3F32B6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0133D6D"/>
    <w:multiLevelType w:val="hybridMultilevel"/>
    <w:tmpl w:val="9BD821C6"/>
    <w:lvl w:ilvl="0" w:tplc="2A38F960">
      <w:start w:val="200"/>
      <w:numFmt w:val="bullet"/>
      <w:lvlText w:val=""/>
      <w:lvlJc w:val="left"/>
      <w:pPr>
        <w:ind w:left="1060" w:hanging="70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3C2C1CFD"/>
    <w:multiLevelType w:val="hybridMultilevel"/>
    <w:tmpl w:val="A30A6A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nsid w:val="4F750DCD"/>
    <w:multiLevelType w:val="hybridMultilevel"/>
    <w:tmpl w:val="3960A4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505873D9"/>
    <w:multiLevelType w:val="hybridMultilevel"/>
    <w:tmpl w:val="5AA04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29509C"/>
    <w:multiLevelType w:val="hybridMultilevel"/>
    <w:tmpl w:val="5C8CC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79927B9"/>
    <w:multiLevelType w:val="multilevel"/>
    <w:tmpl w:val="2CBA4F1A"/>
    <w:lvl w:ilvl="0">
      <w:start w:val="1"/>
      <w:numFmt w:val="decimal"/>
      <w:lvlText w:val="%1)"/>
      <w:lvlJc w:val="left"/>
      <w:pPr>
        <w:ind w:left="360" w:firstLine="0"/>
      </w:p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0">
    <w:nsid w:val="6BA0186F"/>
    <w:multiLevelType w:val="hybridMultilevel"/>
    <w:tmpl w:val="1FF424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761553E4"/>
    <w:multiLevelType w:val="hybridMultilevel"/>
    <w:tmpl w:val="6F64B7E8"/>
    <w:lvl w:ilvl="0" w:tplc="3E04776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0"/>
  </w:num>
  <w:num w:numId="4">
    <w:abstractNumId w:val="2"/>
  </w:num>
  <w:num w:numId="5">
    <w:abstractNumId w:val="4"/>
  </w:num>
  <w:num w:numId="6">
    <w:abstractNumId w:val="11"/>
  </w:num>
  <w:num w:numId="7">
    <w:abstractNumId w:val="6"/>
  </w:num>
  <w:num w:numId="8">
    <w:abstractNumId w:val="7"/>
  </w:num>
  <w:num w:numId="9">
    <w:abstractNumId w:val="8"/>
  </w:num>
  <w:num w:numId="10">
    <w:abstractNumId w:val="3"/>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54"/>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CFE"/>
    <w:rsid w:val="00000666"/>
    <w:rsid w:val="00037816"/>
    <w:rsid w:val="0004195D"/>
    <w:rsid w:val="00047DAD"/>
    <w:rsid w:val="00047E36"/>
    <w:rsid w:val="0005038B"/>
    <w:rsid w:val="000559B8"/>
    <w:rsid w:val="00063556"/>
    <w:rsid w:val="00074E0E"/>
    <w:rsid w:val="00077E83"/>
    <w:rsid w:val="00082812"/>
    <w:rsid w:val="000A2B24"/>
    <w:rsid w:val="000E6FBC"/>
    <w:rsid w:val="000E7D37"/>
    <w:rsid w:val="000F3493"/>
    <w:rsid w:val="000F4ADA"/>
    <w:rsid w:val="001115FA"/>
    <w:rsid w:val="00112F4E"/>
    <w:rsid w:val="001176C6"/>
    <w:rsid w:val="00126514"/>
    <w:rsid w:val="00153753"/>
    <w:rsid w:val="001701AA"/>
    <w:rsid w:val="001928D4"/>
    <w:rsid w:val="001A06C5"/>
    <w:rsid w:val="001A6637"/>
    <w:rsid w:val="001C1135"/>
    <w:rsid w:val="001C11DC"/>
    <w:rsid w:val="001C1EC1"/>
    <w:rsid w:val="001D02FD"/>
    <w:rsid w:val="001E65BE"/>
    <w:rsid w:val="002042C5"/>
    <w:rsid w:val="002114E4"/>
    <w:rsid w:val="00222A6E"/>
    <w:rsid w:val="00274B8F"/>
    <w:rsid w:val="00280975"/>
    <w:rsid w:val="0029337E"/>
    <w:rsid w:val="002B4E86"/>
    <w:rsid w:val="002D4053"/>
    <w:rsid w:val="002E3270"/>
    <w:rsid w:val="002F27F8"/>
    <w:rsid w:val="0033333B"/>
    <w:rsid w:val="003430FB"/>
    <w:rsid w:val="003440FF"/>
    <w:rsid w:val="00396DFD"/>
    <w:rsid w:val="003B2377"/>
    <w:rsid w:val="003C681E"/>
    <w:rsid w:val="003D3703"/>
    <w:rsid w:val="003D79A3"/>
    <w:rsid w:val="003F50D6"/>
    <w:rsid w:val="00410919"/>
    <w:rsid w:val="00410AC8"/>
    <w:rsid w:val="00411B09"/>
    <w:rsid w:val="00433D27"/>
    <w:rsid w:val="00455493"/>
    <w:rsid w:val="004B0D48"/>
    <w:rsid w:val="004B0F48"/>
    <w:rsid w:val="004C02B4"/>
    <w:rsid w:val="004F7058"/>
    <w:rsid w:val="00502880"/>
    <w:rsid w:val="00506943"/>
    <w:rsid w:val="00522128"/>
    <w:rsid w:val="00527DB1"/>
    <w:rsid w:val="00533052"/>
    <w:rsid w:val="0054367C"/>
    <w:rsid w:val="00556B6D"/>
    <w:rsid w:val="005608E5"/>
    <w:rsid w:val="00560E60"/>
    <w:rsid w:val="0057410A"/>
    <w:rsid w:val="00575AB1"/>
    <w:rsid w:val="00593FE8"/>
    <w:rsid w:val="00594686"/>
    <w:rsid w:val="005A7863"/>
    <w:rsid w:val="005B1018"/>
    <w:rsid w:val="005B1FFD"/>
    <w:rsid w:val="005B2D2D"/>
    <w:rsid w:val="005C29CD"/>
    <w:rsid w:val="005D3C98"/>
    <w:rsid w:val="005D7C96"/>
    <w:rsid w:val="00602F85"/>
    <w:rsid w:val="00616199"/>
    <w:rsid w:val="00621E44"/>
    <w:rsid w:val="00653E43"/>
    <w:rsid w:val="006706A4"/>
    <w:rsid w:val="00684D01"/>
    <w:rsid w:val="0069371A"/>
    <w:rsid w:val="00694B23"/>
    <w:rsid w:val="00696A72"/>
    <w:rsid w:val="006E6477"/>
    <w:rsid w:val="006F4AD1"/>
    <w:rsid w:val="00701A73"/>
    <w:rsid w:val="00737119"/>
    <w:rsid w:val="007621A4"/>
    <w:rsid w:val="007705E8"/>
    <w:rsid w:val="00782A28"/>
    <w:rsid w:val="007866C9"/>
    <w:rsid w:val="0079540F"/>
    <w:rsid w:val="007979F2"/>
    <w:rsid w:val="007B0543"/>
    <w:rsid w:val="007B39DB"/>
    <w:rsid w:val="007D24E4"/>
    <w:rsid w:val="007D5D30"/>
    <w:rsid w:val="007F5390"/>
    <w:rsid w:val="00810B4D"/>
    <w:rsid w:val="00830662"/>
    <w:rsid w:val="00842CF6"/>
    <w:rsid w:val="008853D7"/>
    <w:rsid w:val="008D1D06"/>
    <w:rsid w:val="008E036F"/>
    <w:rsid w:val="008E0A12"/>
    <w:rsid w:val="008E4C8E"/>
    <w:rsid w:val="008F0BC0"/>
    <w:rsid w:val="008F1493"/>
    <w:rsid w:val="00921DE1"/>
    <w:rsid w:val="00923AEC"/>
    <w:rsid w:val="00927316"/>
    <w:rsid w:val="009523E0"/>
    <w:rsid w:val="00957D2B"/>
    <w:rsid w:val="00962F21"/>
    <w:rsid w:val="009701A0"/>
    <w:rsid w:val="009731EF"/>
    <w:rsid w:val="0097365C"/>
    <w:rsid w:val="00986800"/>
    <w:rsid w:val="00992BE5"/>
    <w:rsid w:val="009A08B3"/>
    <w:rsid w:val="009B1789"/>
    <w:rsid w:val="009B1C86"/>
    <w:rsid w:val="009B23D0"/>
    <w:rsid w:val="009B766E"/>
    <w:rsid w:val="009E144B"/>
    <w:rsid w:val="00A03A51"/>
    <w:rsid w:val="00A43C6E"/>
    <w:rsid w:val="00A50E00"/>
    <w:rsid w:val="00A5288F"/>
    <w:rsid w:val="00A75CFE"/>
    <w:rsid w:val="00A95B70"/>
    <w:rsid w:val="00AA25FD"/>
    <w:rsid w:val="00AA6ACC"/>
    <w:rsid w:val="00AA6BFA"/>
    <w:rsid w:val="00AE517C"/>
    <w:rsid w:val="00AF1AD7"/>
    <w:rsid w:val="00B22CC3"/>
    <w:rsid w:val="00B26228"/>
    <w:rsid w:val="00B27E46"/>
    <w:rsid w:val="00B631C2"/>
    <w:rsid w:val="00B72BDB"/>
    <w:rsid w:val="00BA5D8F"/>
    <w:rsid w:val="00BC194A"/>
    <w:rsid w:val="00BC767C"/>
    <w:rsid w:val="00BE0FEC"/>
    <w:rsid w:val="00BE669A"/>
    <w:rsid w:val="00C130C1"/>
    <w:rsid w:val="00C2703B"/>
    <w:rsid w:val="00C46A74"/>
    <w:rsid w:val="00C51DA5"/>
    <w:rsid w:val="00C53246"/>
    <w:rsid w:val="00C84033"/>
    <w:rsid w:val="00CA2000"/>
    <w:rsid w:val="00CB506C"/>
    <w:rsid w:val="00CD508F"/>
    <w:rsid w:val="00CF53A1"/>
    <w:rsid w:val="00CF7C2C"/>
    <w:rsid w:val="00D0732B"/>
    <w:rsid w:val="00D176BB"/>
    <w:rsid w:val="00D22E6F"/>
    <w:rsid w:val="00D310EA"/>
    <w:rsid w:val="00D4122C"/>
    <w:rsid w:val="00D418B8"/>
    <w:rsid w:val="00D4452A"/>
    <w:rsid w:val="00D5131A"/>
    <w:rsid w:val="00D55908"/>
    <w:rsid w:val="00D9392E"/>
    <w:rsid w:val="00DA22AF"/>
    <w:rsid w:val="00DC0EEA"/>
    <w:rsid w:val="00DC437D"/>
    <w:rsid w:val="00DD3E88"/>
    <w:rsid w:val="00DE69E3"/>
    <w:rsid w:val="00DE7632"/>
    <w:rsid w:val="00DF4245"/>
    <w:rsid w:val="00DF51A0"/>
    <w:rsid w:val="00E0121C"/>
    <w:rsid w:val="00E04C9C"/>
    <w:rsid w:val="00E22ACC"/>
    <w:rsid w:val="00E80369"/>
    <w:rsid w:val="00E870D3"/>
    <w:rsid w:val="00E954DA"/>
    <w:rsid w:val="00EB77CD"/>
    <w:rsid w:val="00ED1139"/>
    <w:rsid w:val="00ED3F76"/>
    <w:rsid w:val="00EE055A"/>
    <w:rsid w:val="00EE7852"/>
    <w:rsid w:val="00F00D01"/>
    <w:rsid w:val="00F00F69"/>
    <w:rsid w:val="00F23984"/>
    <w:rsid w:val="00F25EFB"/>
    <w:rsid w:val="00F3417E"/>
    <w:rsid w:val="00F50F90"/>
    <w:rsid w:val="00F54E0A"/>
    <w:rsid w:val="00F55095"/>
    <w:rsid w:val="00F668CB"/>
    <w:rsid w:val="00F803C0"/>
    <w:rsid w:val="00FA019B"/>
    <w:rsid w:val="00FA3AB3"/>
    <w:rsid w:val="00FB4996"/>
    <w:rsid w:val="00FC4F54"/>
    <w:rsid w:val="00FC6BEE"/>
    <w:rsid w:val="00FD453B"/>
    <w:rsid w:val="00FD5452"/>
    <w:rsid w:val="00FE1D95"/>
    <w:rsid w:val="00FE3F4E"/>
    <w:rsid w:val="00FF1F46"/>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3F240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de-de"/>
      </w:rPr>
    </w:rPrDefault>
    <w:pPrDefault>
      <w:pPr>
        <w:spacing w:before="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F46"/>
    <w:pPr>
      <w:contextualSpacing/>
    </w:pPr>
    <w:rPr>
      <w:rFonts w:ascii="Arial" w:hAnsi="Arial"/>
      <w:sz w:val="20"/>
    </w:rPr>
  </w:style>
  <w:style w:type="paragraph" w:styleId="Heading1">
    <w:name w:val="heading 1"/>
    <w:basedOn w:val="Normal"/>
    <w:next w:val="Normal"/>
    <w:link w:val="Heading1Char"/>
    <w:uiPriority w:val="9"/>
    <w:qFormat/>
    <w:rsid w:val="00ED11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Grid-Accent11">
    <w:name w:val="Light Grid - Accent 11"/>
    <w:basedOn w:val="TableNormal"/>
    <w:uiPriority w:val="62"/>
    <w:rsid w:val="00C130C1"/>
    <w:pPr>
      <w:spacing w:before="0"/>
    </w:pP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C130C1"/>
    <w:rPr>
      <w:color w:val="0000FF" w:themeColor="hyperlink"/>
      <w:u w:val="single"/>
    </w:rPr>
  </w:style>
  <w:style w:type="paragraph" w:styleId="ListParagraph">
    <w:name w:val="List Paragraph"/>
    <w:basedOn w:val="Normal"/>
    <w:uiPriority w:val="34"/>
    <w:qFormat/>
    <w:rsid w:val="00C130C1"/>
    <w:pPr>
      <w:spacing w:before="0" w:after="160" w:line="276" w:lineRule="auto"/>
      <w:ind w:left="720"/>
    </w:pPr>
    <w:rPr>
      <w:rFonts w:ascii="Calibri" w:eastAsia="Calibri" w:hAnsi="Calibri" w:cs="Times New Roman"/>
      <w:color w:val="000000"/>
      <w:sz w:val="22"/>
      <w:szCs w:val="20"/>
    </w:rPr>
  </w:style>
  <w:style w:type="paragraph" w:styleId="NormalWeb">
    <w:name w:val="Normal (Web)"/>
    <w:basedOn w:val="Normal"/>
    <w:uiPriority w:val="99"/>
    <w:unhideWhenUsed/>
    <w:rsid w:val="00C130C1"/>
    <w:pPr>
      <w:spacing w:before="100" w:beforeAutospacing="1" w:after="100" w:afterAutospacing="1"/>
      <w:contextualSpacing w:val="0"/>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C130C1"/>
    <w:pPr>
      <w:spacing w:before="0" w:after="200"/>
      <w:contextualSpacing w:val="0"/>
    </w:pPr>
    <w:rPr>
      <w:rFonts w:cs="Arial"/>
      <w:i/>
      <w:color w:val="002060"/>
      <w:szCs w:val="20"/>
      <w:u w:val="single"/>
    </w:rPr>
  </w:style>
  <w:style w:type="character" w:customStyle="1" w:styleId="CommentTextChar">
    <w:name w:val="Comment Text Char"/>
    <w:basedOn w:val="DefaultParagraphFont"/>
    <w:link w:val="CommentText"/>
    <w:uiPriority w:val="99"/>
    <w:rsid w:val="00C130C1"/>
    <w:rPr>
      <w:rFonts w:ascii="Arial" w:hAnsi="Arial" w:cs="Arial"/>
      <w:i/>
      <w:color w:val="002060"/>
      <w:sz w:val="20"/>
      <w:szCs w:val="20"/>
      <w:u w:val="single"/>
    </w:rPr>
  </w:style>
  <w:style w:type="table" w:styleId="TableGrid">
    <w:name w:val="Table Grid"/>
    <w:basedOn w:val="TableNormal"/>
    <w:uiPriority w:val="59"/>
    <w:rsid w:val="00DF51A0"/>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367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67C"/>
    <w:rPr>
      <w:rFonts w:ascii="Tahoma" w:hAnsi="Tahoma" w:cs="Tahoma"/>
      <w:sz w:val="16"/>
      <w:szCs w:val="16"/>
    </w:rPr>
  </w:style>
  <w:style w:type="character" w:styleId="PlaceholderText">
    <w:name w:val="Placeholder Text"/>
    <w:basedOn w:val="DefaultParagraphFont"/>
    <w:uiPriority w:val="99"/>
    <w:semiHidden/>
    <w:rsid w:val="001176C6"/>
    <w:rPr>
      <w:color w:val="808080"/>
    </w:rPr>
  </w:style>
  <w:style w:type="paragraph" w:styleId="Header">
    <w:name w:val="header"/>
    <w:basedOn w:val="Normal"/>
    <w:link w:val="HeaderChar"/>
    <w:semiHidden/>
    <w:unhideWhenUsed/>
    <w:rsid w:val="00527DB1"/>
    <w:pPr>
      <w:tabs>
        <w:tab w:val="center" w:pos="4536"/>
        <w:tab w:val="right" w:pos="9072"/>
      </w:tabs>
      <w:spacing w:before="0"/>
    </w:pPr>
  </w:style>
  <w:style w:type="character" w:customStyle="1" w:styleId="HeaderChar">
    <w:name w:val="Header Char"/>
    <w:basedOn w:val="DefaultParagraphFont"/>
    <w:link w:val="Header"/>
    <w:uiPriority w:val="99"/>
    <w:semiHidden/>
    <w:rsid w:val="00527DB1"/>
    <w:rPr>
      <w:rFonts w:ascii="Arial" w:hAnsi="Arial"/>
      <w:sz w:val="20"/>
    </w:rPr>
  </w:style>
  <w:style w:type="paragraph" w:styleId="Footer">
    <w:name w:val="footer"/>
    <w:basedOn w:val="Normal"/>
    <w:link w:val="FooterChar"/>
    <w:uiPriority w:val="99"/>
    <w:unhideWhenUsed/>
    <w:rsid w:val="00527DB1"/>
    <w:pPr>
      <w:tabs>
        <w:tab w:val="center" w:pos="4536"/>
        <w:tab w:val="right" w:pos="9072"/>
      </w:tabs>
      <w:spacing w:before="0"/>
    </w:pPr>
  </w:style>
  <w:style w:type="character" w:customStyle="1" w:styleId="FooterChar">
    <w:name w:val="Footer Char"/>
    <w:basedOn w:val="DefaultParagraphFont"/>
    <w:link w:val="Footer"/>
    <w:uiPriority w:val="99"/>
    <w:rsid w:val="00527DB1"/>
    <w:rPr>
      <w:rFonts w:ascii="Arial" w:hAnsi="Arial"/>
      <w:sz w:val="20"/>
    </w:rPr>
  </w:style>
  <w:style w:type="character" w:styleId="CommentReference">
    <w:name w:val="annotation reference"/>
    <w:basedOn w:val="DefaultParagraphFont"/>
    <w:uiPriority w:val="99"/>
    <w:semiHidden/>
    <w:unhideWhenUsed/>
    <w:rsid w:val="009523E0"/>
    <w:rPr>
      <w:sz w:val="18"/>
      <w:szCs w:val="18"/>
    </w:rPr>
  </w:style>
  <w:style w:type="paragraph" w:styleId="CommentSubject">
    <w:name w:val="annotation subject"/>
    <w:basedOn w:val="CommentText"/>
    <w:next w:val="CommentText"/>
    <w:link w:val="CommentSubjectChar"/>
    <w:uiPriority w:val="99"/>
    <w:semiHidden/>
    <w:unhideWhenUsed/>
    <w:rsid w:val="008853D7"/>
    <w:pPr>
      <w:spacing w:before="60" w:after="0"/>
      <w:contextualSpacing/>
    </w:pPr>
    <w:rPr>
      <w:rFonts w:cstheme="minorBidi"/>
      <w:b/>
      <w:bCs/>
      <w:i w:val="0"/>
      <w:color w:val="auto"/>
      <w:u w:val="none"/>
    </w:rPr>
  </w:style>
  <w:style w:type="character" w:customStyle="1" w:styleId="CommentSubjectChar">
    <w:name w:val="Comment Subject Char"/>
    <w:basedOn w:val="CommentTextChar"/>
    <w:link w:val="CommentSubject"/>
    <w:uiPriority w:val="99"/>
    <w:semiHidden/>
    <w:rsid w:val="008853D7"/>
    <w:rPr>
      <w:rFonts w:ascii="Arial" w:hAnsi="Arial" w:cs="Arial"/>
      <w:b/>
      <w:bCs/>
      <w:i/>
      <w:color w:val="002060"/>
      <w:sz w:val="20"/>
      <w:szCs w:val="20"/>
      <w:u w:val="single"/>
    </w:rPr>
  </w:style>
  <w:style w:type="paragraph" w:styleId="Revision">
    <w:name w:val="Revision"/>
    <w:hidden/>
    <w:uiPriority w:val="99"/>
    <w:semiHidden/>
    <w:rsid w:val="00410919"/>
    <w:pPr>
      <w:spacing w:before="0"/>
    </w:pPr>
    <w:rPr>
      <w:rFonts w:ascii="Arial" w:hAnsi="Arial"/>
      <w:sz w:val="20"/>
    </w:rPr>
  </w:style>
  <w:style w:type="character" w:customStyle="1" w:styleId="Heading1Char">
    <w:name w:val="Heading 1 Char"/>
    <w:basedOn w:val="DefaultParagraphFont"/>
    <w:link w:val="Heading1"/>
    <w:uiPriority w:val="9"/>
    <w:rsid w:val="00ED113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F46"/>
    <w:pPr>
      <w:contextualSpacing/>
    </w:pPr>
    <w:rPr>
      <w:rFonts w:ascii="Arial" w:hAnsi="Arial"/>
      <w:sz w:val="20"/>
    </w:rPr>
  </w:style>
  <w:style w:type="paragraph" w:styleId="Heading1">
    <w:name w:val="heading 1"/>
    <w:basedOn w:val="Normal"/>
    <w:next w:val="Normal"/>
    <w:link w:val="Heading1Char"/>
    <w:uiPriority w:val="9"/>
    <w:qFormat/>
    <w:rsid w:val="00ED11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Grid-Accent11">
    <w:name w:val="Light Grid - Accent 11"/>
    <w:basedOn w:val="TableNormal"/>
    <w:uiPriority w:val="62"/>
    <w:rsid w:val="00C130C1"/>
    <w:pPr>
      <w:spacing w:before="0"/>
    </w:pPr>
    <w:rPr>
      <w:lang w:val="en-IE"/>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C130C1"/>
    <w:rPr>
      <w:color w:val="0000FF" w:themeColor="hyperlink"/>
      <w:u w:val="single"/>
    </w:rPr>
  </w:style>
  <w:style w:type="paragraph" w:styleId="ListParagraph">
    <w:name w:val="List Paragraph"/>
    <w:basedOn w:val="Normal"/>
    <w:uiPriority w:val="34"/>
    <w:qFormat/>
    <w:rsid w:val="00C130C1"/>
    <w:pPr>
      <w:spacing w:before="0" w:after="160" w:line="276" w:lineRule="auto"/>
      <w:ind w:left="720"/>
    </w:pPr>
    <w:rPr>
      <w:rFonts w:ascii="Calibri" w:eastAsia="Calibri" w:hAnsi="Calibri" w:cs="Times New Roman"/>
      <w:color w:val="000000"/>
      <w:sz w:val="22"/>
      <w:szCs w:val="20"/>
      <w:lang w:val="en-US"/>
    </w:rPr>
  </w:style>
  <w:style w:type="paragraph" w:styleId="NormalWeb">
    <w:name w:val="Normal (Web)"/>
    <w:basedOn w:val="Normal"/>
    <w:uiPriority w:val="99"/>
    <w:unhideWhenUsed/>
    <w:rsid w:val="00C130C1"/>
    <w:pPr>
      <w:spacing w:before="100" w:beforeAutospacing="1" w:after="100" w:afterAutospacing="1"/>
      <w:contextualSpacing w:val="0"/>
    </w:pPr>
    <w:rPr>
      <w:rFonts w:ascii="Times New Roman" w:eastAsia="Times New Roman" w:hAnsi="Times New Roman" w:cs="Times New Roman"/>
      <w:sz w:val="24"/>
      <w:szCs w:val="24"/>
      <w:lang w:val="en-IE" w:eastAsia="en-IE"/>
    </w:rPr>
  </w:style>
  <w:style w:type="paragraph" w:styleId="CommentText">
    <w:name w:val="annotation text"/>
    <w:basedOn w:val="Normal"/>
    <w:link w:val="CommentTextChar"/>
    <w:uiPriority w:val="99"/>
    <w:unhideWhenUsed/>
    <w:rsid w:val="00C130C1"/>
    <w:pPr>
      <w:spacing w:before="0" w:after="200"/>
      <w:contextualSpacing w:val="0"/>
    </w:pPr>
    <w:rPr>
      <w:rFonts w:cs="Arial"/>
      <w:i/>
      <w:color w:val="002060"/>
      <w:szCs w:val="20"/>
      <w:u w:val="single"/>
      <w:lang w:val="en-IE"/>
    </w:rPr>
  </w:style>
  <w:style w:type="character" w:customStyle="1" w:styleId="CommentTextChar">
    <w:name w:val="Comment Text Char"/>
    <w:basedOn w:val="DefaultParagraphFont"/>
    <w:link w:val="CommentText"/>
    <w:uiPriority w:val="99"/>
    <w:rsid w:val="00C130C1"/>
    <w:rPr>
      <w:rFonts w:ascii="Arial" w:hAnsi="Arial" w:cs="Arial"/>
      <w:i/>
      <w:color w:val="002060"/>
      <w:sz w:val="20"/>
      <w:szCs w:val="20"/>
      <w:u w:val="single"/>
      <w:lang w:val="en-IE"/>
    </w:rPr>
  </w:style>
  <w:style w:type="table" w:styleId="TableGrid">
    <w:name w:val="Table Grid"/>
    <w:basedOn w:val="TableNormal"/>
    <w:uiPriority w:val="59"/>
    <w:rsid w:val="00DF51A0"/>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367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67C"/>
    <w:rPr>
      <w:rFonts w:ascii="Tahoma" w:hAnsi="Tahoma" w:cs="Tahoma"/>
      <w:sz w:val="16"/>
      <w:szCs w:val="16"/>
    </w:rPr>
  </w:style>
  <w:style w:type="character" w:styleId="PlaceholderText">
    <w:name w:val="Placeholder Text"/>
    <w:basedOn w:val="DefaultParagraphFont"/>
    <w:uiPriority w:val="99"/>
    <w:semiHidden/>
    <w:rsid w:val="001176C6"/>
    <w:rPr>
      <w:color w:val="808080"/>
    </w:rPr>
  </w:style>
  <w:style w:type="paragraph" w:styleId="Header">
    <w:name w:val="header"/>
    <w:basedOn w:val="Normal"/>
    <w:link w:val="HeaderChar"/>
    <w:semiHidden/>
    <w:unhideWhenUsed/>
    <w:rsid w:val="00527DB1"/>
    <w:pPr>
      <w:tabs>
        <w:tab w:val="center" w:pos="4536"/>
        <w:tab w:val="right" w:pos="9072"/>
      </w:tabs>
      <w:spacing w:before="0"/>
    </w:pPr>
  </w:style>
  <w:style w:type="character" w:customStyle="1" w:styleId="HeaderChar">
    <w:name w:val="Header Char"/>
    <w:basedOn w:val="DefaultParagraphFont"/>
    <w:link w:val="Header"/>
    <w:uiPriority w:val="99"/>
    <w:semiHidden/>
    <w:rsid w:val="00527DB1"/>
    <w:rPr>
      <w:rFonts w:ascii="Arial" w:hAnsi="Arial"/>
      <w:sz w:val="20"/>
    </w:rPr>
  </w:style>
  <w:style w:type="paragraph" w:styleId="Footer">
    <w:name w:val="footer"/>
    <w:basedOn w:val="Normal"/>
    <w:link w:val="FooterChar"/>
    <w:uiPriority w:val="99"/>
    <w:unhideWhenUsed/>
    <w:rsid w:val="00527DB1"/>
    <w:pPr>
      <w:tabs>
        <w:tab w:val="center" w:pos="4536"/>
        <w:tab w:val="right" w:pos="9072"/>
      </w:tabs>
      <w:spacing w:before="0"/>
    </w:pPr>
  </w:style>
  <w:style w:type="character" w:customStyle="1" w:styleId="FooterChar">
    <w:name w:val="Footer Char"/>
    <w:basedOn w:val="DefaultParagraphFont"/>
    <w:link w:val="Footer"/>
    <w:uiPriority w:val="99"/>
    <w:rsid w:val="00527DB1"/>
    <w:rPr>
      <w:rFonts w:ascii="Arial" w:hAnsi="Arial"/>
      <w:sz w:val="20"/>
    </w:rPr>
  </w:style>
  <w:style w:type="character" w:styleId="CommentReference">
    <w:name w:val="annotation reference"/>
    <w:basedOn w:val="DefaultParagraphFont"/>
    <w:uiPriority w:val="99"/>
    <w:semiHidden/>
    <w:unhideWhenUsed/>
    <w:rsid w:val="009523E0"/>
    <w:rPr>
      <w:sz w:val="18"/>
      <w:szCs w:val="18"/>
    </w:rPr>
  </w:style>
  <w:style w:type="paragraph" w:styleId="CommentSubject">
    <w:name w:val="annotation subject"/>
    <w:basedOn w:val="CommentText"/>
    <w:next w:val="CommentText"/>
    <w:link w:val="CommentSubjectChar"/>
    <w:uiPriority w:val="99"/>
    <w:semiHidden/>
    <w:unhideWhenUsed/>
    <w:rsid w:val="008853D7"/>
    <w:pPr>
      <w:spacing w:before="60" w:after="0"/>
      <w:contextualSpacing/>
    </w:pPr>
    <w:rPr>
      <w:rFonts w:cstheme="minorBidi"/>
      <w:b/>
      <w:bCs/>
      <w:i w:val="0"/>
      <w:color w:val="auto"/>
      <w:u w:val="none"/>
      <w:lang w:val="en-GB"/>
    </w:rPr>
  </w:style>
  <w:style w:type="character" w:customStyle="1" w:styleId="CommentSubjectChar">
    <w:name w:val="Comment Subject Char"/>
    <w:basedOn w:val="CommentTextChar"/>
    <w:link w:val="CommentSubject"/>
    <w:uiPriority w:val="99"/>
    <w:semiHidden/>
    <w:rsid w:val="008853D7"/>
    <w:rPr>
      <w:rFonts w:ascii="Arial" w:hAnsi="Arial" w:cs="Arial"/>
      <w:b/>
      <w:bCs/>
      <w:i/>
      <w:color w:val="002060"/>
      <w:sz w:val="20"/>
      <w:szCs w:val="20"/>
      <w:u w:val="single"/>
      <w:lang w:val="en-IE"/>
    </w:rPr>
  </w:style>
  <w:style w:type="paragraph" w:styleId="Revision">
    <w:name w:val="Revision"/>
    <w:hidden/>
    <w:uiPriority w:val="99"/>
    <w:semiHidden/>
    <w:rsid w:val="00410919"/>
    <w:pPr>
      <w:spacing w:before="0"/>
    </w:pPr>
    <w:rPr>
      <w:rFonts w:ascii="Arial" w:hAnsi="Arial"/>
      <w:sz w:val="20"/>
    </w:rPr>
  </w:style>
  <w:style w:type="character" w:customStyle="1" w:styleId="Heading1Char">
    <w:name w:val="Heading 1 Char"/>
    <w:basedOn w:val="DefaultParagraphFont"/>
    <w:link w:val="Heading1"/>
    <w:uiPriority w:val="9"/>
    <w:rsid w:val="00ED113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86857">
      <w:bodyDiv w:val="1"/>
      <w:marLeft w:val="0"/>
      <w:marRight w:val="0"/>
      <w:marTop w:val="0"/>
      <w:marBottom w:val="0"/>
      <w:divBdr>
        <w:top w:val="none" w:sz="0" w:space="0" w:color="auto"/>
        <w:left w:val="none" w:sz="0" w:space="0" w:color="auto"/>
        <w:bottom w:val="none" w:sz="0" w:space="0" w:color="auto"/>
        <w:right w:val="none" w:sz="0" w:space="0" w:color="auto"/>
      </w:divBdr>
    </w:div>
    <w:div w:id="148719762">
      <w:bodyDiv w:val="1"/>
      <w:marLeft w:val="0"/>
      <w:marRight w:val="0"/>
      <w:marTop w:val="0"/>
      <w:marBottom w:val="0"/>
      <w:divBdr>
        <w:top w:val="none" w:sz="0" w:space="0" w:color="auto"/>
        <w:left w:val="none" w:sz="0" w:space="0" w:color="auto"/>
        <w:bottom w:val="none" w:sz="0" w:space="0" w:color="auto"/>
        <w:right w:val="none" w:sz="0" w:space="0" w:color="auto"/>
      </w:divBdr>
    </w:div>
    <w:div w:id="1036126755">
      <w:bodyDiv w:val="1"/>
      <w:marLeft w:val="0"/>
      <w:marRight w:val="0"/>
      <w:marTop w:val="0"/>
      <w:marBottom w:val="0"/>
      <w:divBdr>
        <w:top w:val="none" w:sz="0" w:space="0" w:color="auto"/>
        <w:left w:val="none" w:sz="0" w:space="0" w:color="auto"/>
        <w:bottom w:val="none" w:sz="0" w:space="0" w:color="auto"/>
        <w:right w:val="none" w:sz="0" w:space="0" w:color="auto"/>
      </w:divBdr>
    </w:div>
    <w:div w:id="168532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Tiberius:Users:Heidi:Documents:DIA%20Europe:Factsheet-X-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Factsheet-X-Template.dotx</Template>
  <TotalTime>5</TotalTime>
  <Pages>1</Pages>
  <Words>420</Words>
  <Characters>2399</Characters>
  <Application>Microsoft Macintosh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DIA</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Scherz</dc:creator>
  <cp:lastModifiedBy>Heidi Scherz</cp:lastModifiedBy>
  <cp:revision>2</cp:revision>
  <cp:lastPrinted>2014-10-24T13:00:00Z</cp:lastPrinted>
  <dcterms:created xsi:type="dcterms:W3CDTF">2015-06-17T07:56:00Z</dcterms:created>
  <dcterms:modified xsi:type="dcterms:W3CDTF">2015-06-17T08:12:00Z</dcterms:modified>
</cp:coreProperties>
</file>