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9" w:rsidRDefault="00ED1139" w:rsidP="005B2D2D">
      <w:pPr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бюллетень: Создание лекарственного препарата – Исследования, направленные на доказательство механизма действия</w:t>
      </w:r>
    </w:p>
    <w:p w:rsidR="005B2D2D" w:rsidRDefault="005B2D2D" w:rsidP="005B2D2D">
      <w:pPr>
        <w:spacing w:before="120" w:after="120"/>
        <w:rPr>
          <w:b/>
          <w:sz w:val="36"/>
          <w:szCs w:val="36"/>
        </w:rPr>
      </w:pPr>
    </w:p>
    <w:p w:rsidR="00C84033" w:rsidRDefault="00CA4CCE" w:rsidP="005B2D2D">
      <w:pPr>
        <w:spacing w:before="120" w:after="120"/>
        <w:rPr>
          <w:rFonts w:cs="Arial"/>
          <w:b/>
          <w:sz w:val="22"/>
        </w:rPr>
      </w:pPr>
      <w:r>
        <w:rPr>
          <w:b/>
          <w:sz w:val="22"/>
          <w:rFonts w:cs="Arial"/>
        </w:rPr>
        <w:t>Клинические исследования 1 фазы</w:t>
      </w:r>
      <w:bookmarkStart w:id="0" w:name="_GoBack"/>
      <w:bookmarkEnd w:id="0"/>
    </w:p>
    <w:p w:rsidR="00CA4CCE" w:rsidRDefault="00CA4CCE" w:rsidP="005B2D2D">
      <w:pPr>
        <w:spacing w:before="120" w:after="120"/>
        <w:rPr>
          <w:rFonts w:cs="Arial"/>
          <w:b/>
          <w:sz w:val="22"/>
        </w:rPr>
      </w:pPr>
    </w:p>
    <w:p w:rsid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Важной вехой является принятие решения о проведении первого клинического исследования. По мере того, как разворачиваются новые этапы разработки исследуемого вещества, увеличивается количество, стоимость и сложность связанных с исследованием мероприятий.</w:t>
      </w:r>
    </w:p>
    <w:p w:rsidR="00CA4CCE" w:rsidRPr="00CA4CCE" w:rsidRDefault="00CA4CCE" w:rsidP="00CA4CCE">
      <w:pPr>
        <w:spacing w:before="120" w:after="120"/>
        <w:rPr>
          <w:rFonts w:cs="Arial"/>
          <w:sz w:val="22"/>
        </w:rPr>
      </w:pPr>
    </w:p>
    <w:p w:rsid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До начала клинического исследования необходимо подать заявку на проведение клинического исследования (CTA). К ней прилагаются следующие важные документы:</w:t>
      </w:r>
    </w:p>
    <w:p w:rsidR="00CA4CCE" w:rsidRPr="00CA4CCE" w:rsidRDefault="00CA4CCE" w:rsidP="00CA4CCE">
      <w:pPr>
        <w:spacing w:before="120" w:after="120"/>
        <w:rPr>
          <w:rFonts w:cs="Arial"/>
          <w:sz w:val="22"/>
        </w:rPr>
      </w:pPr>
    </w:p>
    <w:p w:rsidR="00CA4CCE" w:rsidRPr="00CA4CCE" w:rsidRDefault="00CA4CCE" w:rsidP="00CA4CC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>
        <w:rPr>
          <w:rFonts w:cs="Arial"/>
        </w:rPr>
        <w:t>досье экспериментального лекарственного препарата (IMPD), включая данные об ADME и исследованиях эффекта (на мишень), токсикологической безопасности, а также информацию о производстве препарата;</w:t>
      </w:r>
    </w:p>
    <w:p w:rsidR="00CA4CCE" w:rsidRPr="00CA4CCE" w:rsidRDefault="00CA4CCE" w:rsidP="00CA4CC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>
        <w:rPr>
          <w:rFonts w:cs="Arial"/>
        </w:rPr>
        <w:t>протокол исследования, в котором описываются подробности проведения исследования и оценки результатов;</w:t>
      </w:r>
    </w:p>
    <w:p w:rsidR="00CA4CCE" w:rsidRPr="00CA4CCE" w:rsidRDefault="00CA4CCE" w:rsidP="00CA4CC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>
        <w:rPr>
          <w:rFonts w:cs="Arial"/>
        </w:rPr>
        <w:t>брошюра исследователя (IB), в которой обобщается информация, позволяющая проводящим исследование врачам (исследователям) понять, как исследуемый лекарственный препарат действует в организме (фармакология). Это позволяет исследователям объяснить суть исследования волонтерам и пациентам и получить их информированное согласие (см. ниже).</w:t>
      </w:r>
    </w:p>
    <w:p w:rsidR="00CA4CCE" w:rsidRPr="00CA4CCE" w:rsidRDefault="00CA4CCE" w:rsidP="00CA4CCE">
      <w:pPr>
        <w:spacing w:before="120" w:after="120"/>
        <w:rPr>
          <w:rFonts w:cs="Arial"/>
          <w:sz w:val="22"/>
        </w:rPr>
      </w:pPr>
    </w:p>
    <w:p w:rsid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Безопасность является задачей номер один. В этой связи исследование с участием людей не начнется, пока внутренний ревизионный комитет компании, сторонний комитет по этике и сторонний контрольно-надзорный орган не согласуют его проведение.</w:t>
      </w:r>
    </w:p>
    <w:p w:rsidR="00CA4CCE" w:rsidRDefault="00CA4CCE" w:rsidP="00CA4CCE">
      <w:pPr>
        <w:spacing w:before="120" w:after="120"/>
        <w:rPr>
          <w:rFonts w:cs="Arial"/>
          <w:sz w:val="22"/>
        </w:rPr>
      </w:pPr>
    </w:p>
    <w:p w:rsidR="00CA4CCE" w:rsidRDefault="00CA4CCE" w:rsidP="00CA4CCE">
      <w:pPr>
        <w:spacing w:before="120" w:after="120"/>
        <w:rPr>
          <w:rFonts w:cs="Arial"/>
          <w:b/>
          <w:sz w:val="22"/>
        </w:rPr>
      </w:pPr>
      <w:r>
        <w:rPr>
          <w:b/>
          <w:sz w:val="22"/>
          <w:rFonts w:cs="Arial"/>
        </w:rPr>
        <w:t>Исследование с участием волонтеров (также называется «поисковым исследованием», «исследованием с целью доказывания механизма действия» и «исследованием 1 фазы»).</w:t>
      </w:r>
    </w:p>
    <w:p w:rsidR="00CA4CCE" w:rsidRPr="00CA4CCE" w:rsidRDefault="00CA4CCE" w:rsidP="00CA4CCE">
      <w:pPr>
        <w:spacing w:before="120" w:after="120"/>
        <w:rPr>
          <w:rFonts w:cs="Arial"/>
          <w:b/>
          <w:sz w:val="22"/>
        </w:rPr>
      </w:pPr>
    </w:p>
    <w:p w:rsid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Проведение этого исследования позволяет врачам и ученым понять, безопасно ли применение исследуемого препарата людьми. Они также выясняют, действует ли препарат на людей так же, как и на животных. Эти исследования позволяют получить данные о том, как действует исследуемое вещество — о «механизме действия».</w:t>
      </w:r>
    </w:p>
    <w:p w:rsidR="00CA4CCE" w:rsidRPr="00CA4CCE" w:rsidRDefault="00CA4CCE" w:rsidP="00CA4CCE">
      <w:pPr>
        <w:spacing w:before="120" w:after="120"/>
        <w:rPr>
          <w:rFonts w:cs="Arial"/>
          <w:sz w:val="22"/>
        </w:rPr>
      </w:pPr>
    </w:p>
    <w:p w:rsidR="00CA4CCE" w:rsidRPr="00CA4CCE" w:rsidRDefault="00EE4398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В клинических исследованиях 1 фазы принимают участие приблизительно 20–100 волонтеров. Обычно эти исследования проводятся в специальных отделениях, где набирают волонтеров и проводят исследования. Врачи, проводящие эти исследования, называются «исследователями», и они обладают нужной квалификацией для проведения клинических испытаний с целью определения результатов исследования.</w:t>
      </w:r>
    </w:p>
    <w:p w:rsid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 xml:space="preserve">Первое клиническое исследование обычно проводится с участием здоровых мужчин-волонтеров. Подробности клинического исследования должны быть описаны в протоколе исследования.  Все сведения протоколируются в документе «индивидуальная регистрационная карта». </w:t>
      </w:r>
    </w:p>
    <w:p w:rsidR="00EE4398" w:rsidRPr="00CA4CCE" w:rsidRDefault="00EE4398" w:rsidP="00CA4CCE">
      <w:pPr>
        <w:spacing w:before="120" w:after="120"/>
        <w:rPr>
          <w:rFonts w:cs="Arial"/>
          <w:sz w:val="22"/>
        </w:rPr>
      </w:pPr>
    </w:p>
    <w:p w:rsidR="00CA4CCE" w:rsidRDefault="00EE4398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 xml:space="preserve">Здесь также действует большой свод норм и правил, обеспечивающих безопасность участников исследования — «надлежащая клиническая практика» (GCP). </w:t>
      </w:r>
    </w:p>
    <w:p w:rsidR="00EE4398" w:rsidRPr="00CA4CCE" w:rsidRDefault="00EE4398" w:rsidP="00CA4CCE">
      <w:pPr>
        <w:spacing w:before="120" w:after="120"/>
        <w:rPr>
          <w:rFonts w:cs="Arial"/>
          <w:sz w:val="22"/>
        </w:rPr>
      </w:pPr>
    </w:p>
    <w:p w:rsidR="00EE4398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 xml:space="preserve">Также в протоколе исследования имеется раздел, посвященный «статистике»: там описываются статистические тесты, используемые для анализа результатов. Эти моменты необходимо определить до начала исследования. </w:t>
      </w:r>
    </w:p>
    <w:p w:rsidR="00EE4398" w:rsidRPr="00CA4CCE" w:rsidRDefault="00EE4398" w:rsidP="00CA4CCE">
      <w:pPr>
        <w:spacing w:before="120" w:after="120"/>
        <w:rPr>
          <w:rFonts w:cs="Arial"/>
          <w:sz w:val="22"/>
        </w:rPr>
      </w:pPr>
    </w:p>
    <w:p w:rsidR="00EE4398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 xml:space="preserve">Следующие два момента очень важны: </w:t>
      </w:r>
    </w:p>
    <w:p w:rsidR="00EE4398" w:rsidRDefault="00CA4CCE" w:rsidP="00EE4398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>
        <w:rPr>
          <w:rFonts w:cs="Arial"/>
        </w:rPr>
        <w:t>информированное согласие (обеспечивает понимание участников того, что будет происходить, и их согласие на участие в исследовании);</w:t>
      </w:r>
      <w:r>
        <w:rPr>
          <w:b/>
          <w:rFonts w:cs="Arial"/>
        </w:rPr>
        <w:t>и</w:t>
      </w:r>
      <w:r>
        <w:rPr>
          <w:rFonts w:cs="Arial"/>
        </w:rPr>
        <w:t xml:space="preserve"> </w:t>
      </w:r>
    </w:p>
    <w:p w:rsidR="00EE4398" w:rsidRDefault="00CA4CCE" w:rsidP="00EE4398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>
        <w:rPr>
          <w:rFonts w:cs="Arial"/>
        </w:rPr>
        <w:t xml:space="preserve">оценка и заключение комитета по этике. </w:t>
      </w:r>
    </w:p>
    <w:p w:rsidR="00CA4CCE" w:rsidRDefault="00CA4CCE" w:rsidP="00EE4398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 xml:space="preserve">Комитет по этике представляет из себя независимую группу врачей, ученых, медперсонала и лиц, не являющихся специалистами (представителей общественности). Они изучают протокол исследования (в особенности форму информированного согласия), чтобы до начала исследования обеспечить его соответствие нормам комитета по этике. </w:t>
      </w:r>
    </w:p>
    <w:p w:rsidR="00EE4398" w:rsidRPr="00EE4398" w:rsidRDefault="00EE4398" w:rsidP="00EE4398">
      <w:pPr>
        <w:spacing w:before="120" w:after="120"/>
        <w:rPr>
          <w:rFonts w:cs="Arial"/>
          <w:sz w:val="22"/>
        </w:rPr>
      </w:pPr>
    </w:p>
    <w:p w:rsidR="00CA4CCE" w:rsidRP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Так как безопасность является задачей номер один, в первом клиническом исследовании используется очень низкая доза препарата.</w:t>
      </w:r>
    </w:p>
    <w:p w:rsidR="00CA4CCE" w:rsidRPr="004D315B" w:rsidRDefault="00CA4CCE" w:rsidP="004D315B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>
        <w:rPr>
          <w:rFonts w:cs="Arial"/>
        </w:rPr>
        <w:t xml:space="preserve">Каждый волонтер получает одну дозу препарата. </w:t>
      </w:r>
    </w:p>
    <w:p w:rsidR="00CA4CCE" w:rsidRPr="004D315B" w:rsidRDefault="00CA4CCE" w:rsidP="004D315B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>
        <w:rPr>
          <w:rFonts w:cs="Arial"/>
        </w:rPr>
        <w:t xml:space="preserve">Если после применения первой дозы не наблюдается небезопасных явлений, то исследование можно продолжать с повышением дозы. </w:t>
      </w:r>
    </w:p>
    <w:p w:rsidR="004D315B" w:rsidRDefault="00CA4CCE" w:rsidP="00CA4CCE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>
        <w:rPr>
          <w:rFonts w:cs="Arial"/>
        </w:rPr>
        <w:t xml:space="preserve">Затем доза постепенно повышается до максимально допустимого предела. </w:t>
      </w:r>
    </w:p>
    <w:p w:rsidR="00CA4CCE" w:rsidRPr="004D315B" w:rsidRDefault="00CA4CCE" w:rsidP="004D315B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Это устанавливается в протоколе исследования.</w:t>
      </w:r>
    </w:p>
    <w:p w:rsidR="004D315B" w:rsidRDefault="004D315B" w:rsidP="00CA4CCE">
      <w:pPr>
        <w:spacing w:before="120" w:after="120"/>
        <w:rPr>
          <w:rFonts w:cs="Arial"/>
          <w:sz w:val="22"/>
        </w:rPr>
      </w:pPr>
    </w:p>
    <w:p w:rsidR="00CA4CCE" w:rsidRP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Затем результаты исследования анализируются, и оцениваются все показатели по части безопасности. Это включает:</w:t>
      </w:r>
    </w:p>
    <w:p w:rsidR="00CA4CCE" w:rsidRPr="004D315B" w:rsidRDefault="00CA4CCE" w:rsidP="004D315B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>
        <w:rPr>
          <w:rFonts w:cs="Arial"/>
        </w:rPr>
        <w:t>фармакокинетику — как организм влияет на препарат. Измеряется уровень содержания препарата в крови с целью определения всасывания, распределения, метаболизма и выведения (ADME — см. выше о доклинических исследованиях).</w:t>
      </w:r>
    </w:p>
    <w:p w:rsidR="00CA4CCE" w:rsidRPr="004D315B" w:rsidRDefault="00CA4CCE" w:rsidP="004D315B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>
        <w:rPr>
          <w:rFonts w:cs="Arial"/>
        </w:rPr>
        <w:t xml:space="preserve">фармакодинамику — как препарат влияет на организм («эффект»). Например, в исследовании может измеряться эффект препарата на отдельные клетки крови. </w:t>
      </w:r>
    </w:p>
    <w:p w:rsidR="00CA4CCE" w:rsidRDefault="00CA4CCE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Такое исследование известно как исследование с однократной нарастающей дозой. Затем обычно проводится исследование с многократными нарастающими дозами, которое предусматривает, как это видно по названию, прием волонтерами многократных доз.</w:t>
      </w:r>
    </w:p>
    <w:p w:rsidR="004D315B" w:rsidRPr="00CA4CCE" w:rsidRDefault="004D315B" w:rsidP="00CA4CCE">
      <w:pPr>
        <w:spacing w:before="120" w:after="120"/>
        <w:rPr>
          <w:rFonts w:cs="Arial"/>
          <w:sz w:val="22"/>
        </w:rPr>
      </w:pPr>
    </w:p>
    <w:p w:rsidR="00CA4CCE" w:rsidRDefault="004D315B" w:rsidP="00CA4CCE">
      <w:pPr>
        <w:spacing w:before="120" w:after="120"/>
        <w:rPr>
          <w:rFonts w:cs="Arial"/>
          <w:sz w:val="22"/>
        </w:rPr>
      </w:pPr>
      <w:r>
        <w:rPr>
          <w:sz w:val="22"/>
          <w:rFonts w:cs="Arial"/>
        </w:rPr>
        <w:t>В дополнение к исследованиям с однократной нарастающей дозой и многократными нарастающими дозами необходимо также проводить другие исследования 1 фазы — например, исследование воздействия продуктов питания или других медикаментов на действие исследуемого вещества.</w:t>
      </w:r>
    </w:p>
    <w:p w:rsidR="00EE4398" w:rsidRDefault="00EE4398" w:rsidP="00CA4CCE">
      <w:pPr>
        <w:spacing w:before="120" w:after="120"/>
        <w:rPr>
          <w:rFonts w:cs="Arial"/>
          <w:sz w:val="22"/>
        </w:rPr>
      </w:pPr>
    </w:p>
    <w:p w:rsidR="00EE4398" w:rsidRPr="00CA4CCE" w:rsidRDefault="00EE4398" w:rsidP="00CA4CCE">
      <w:pPr>
        <w:spacing w:before="120" w:after="120"/>
        <w:rPr>
          <w:rFonts w:cs="Arial"/>
          <w:sz w:val="22"/>
        </w:rPr>
      </w:pPr>
    </w:p>
    <w:sectPr w:rsidR="00EE4398" w:rsidRPr="00CA4CCE" w:rsidSect="008F149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47" w:rsidRDefault="00747647" w:rsidP="00527DB1">
      <w:pPr>
        <w:spacing w:before="0"/>
      </w:pPr>
      <w:r>
        <w:separator/>
      </w:r>
    </w:p>
  </w:endnote>
  <w:endnote w:type="continuationSeparator" w:id="0">
    <w:p w:rsidR="00747647" w:rsidRDefault="00747647" w:rsidP="00527DB1">
      <w:pPr>
        <w:spacing w:before="0"/>
      </w:pPr>
      <w:r>
        <w:continuationSeparator/>
      </w:r>
    </w:p>
  </w:endnote>
  <w:endnote w:type="continuationNotice" w:id="1">
    <w:p w:rsidR="00747647" w:rsidRDefault="0074764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2516"/>
      <w:docPartObj>
        <w:docPartGallery w:val="Page Numbers (Bottom of Page)"/>
        <w:docPartUnique/>
      </w:docPartObj>
    </w:sdtPr>
    <w:sdtEndPr/>
    <w:sdtContent>
      <w:p w:rsidR="00FA019B" w:rsidRDefault="00ED1139" w:rsidP="00FA019B">
        <w:pPr>
          <w:pStyle w:val="Footer"/>
          <w:jc w:val="right"/>
        </w:pPr>
        <w: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-54763</wp:posOffset>
              </wp:positionH>
              <wp:positionV relativeFrom="paragraph">
                <wp:posOffset>-15519</wp:posOffset>
              </wp:positionV>
              <wp:extent cx="770992" cy="270662"/>
              <wp:effectExtent l="19050" t="0" r="0" b="0"/>
              <wp:wrapNone/>
              <wp:docPr id="6" name="Picture 1" descr="by-nc-s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by-nc-sa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92" cy="270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BD5560">
          <w:instrText xml:space="preserve"> PAGE   \* MERGEFORMAT </w:instrText>
        </w:r>
        <w:r w:rsidR="00BD5560">
          <w:fldChar w:fldCharType="separate"/>
        </w:r>
        <w:r w:rsidR="00942B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47" w:rsidRDefault="00747647" w:rsidP="00527DB1">
      <w:pPr>
        <w:spacing w:before="0"/>
      </w:pPr>
      <w:r>
        <w:separator/>
      </w:r>
    </w:p>
  </w:footnote>
  <w:footnote w:type="continuationSeparator" w:id="0">
    <w:p w:rsidR="00747647" w:rsidRDefault="00747647" w:rsidP="00527DB1">
      <w:pPr>
        <w:spacing w:before="0"/>
      </w:pPr>
      <w:r>
        <w:continuationSeparator/>
      </w:r>
    </w:p>
  </w:footnote>
  <w:footnote w:type="continuationNotice" w:id="1">
    <w:p w:rsidR="00747647" w:rsidRDefault="0074764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35" w:rsidRDefault="002E7650" w:rsidP="00FA019B">
    <w:pPr>
      <w:pStyle w:val="Header"/>
      <w:tabs>
        <w:tab w:val="clear" w:pos="9072"/>
        <w:tab w:val="left" w:pos="1279"/>
        <w:tab w:val="right" w:pos="9070"/>
      </w:tabs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441325</wp:posOffset>
              </wp:positionV>
              <wp:extent cx="1388745" cy="241935"/>
              <wp:effectExtent l="0" t="3175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139" w:rsidRPr="00047E36" w:rsidRDefault="00ED1139" w:rsidP="00ED1139">
                          <w:pPr>
                            <w:pStyle w:val="Footer"/>
                          </w:pPr>
                          <w:r>
                            <w:t>http://www.eupati.eu</w:t>
                          </w:r>
                        </w:p>
                        <w:p w:rsidR="00ED1139" w:rsidRDefault="00ED11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5pt;margin-top:34.75pt;width:109.3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T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uR1ksxJjFEFtoiE6bU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" filled="f" stroked="f">
              <v:textbox>
                <w:txbxContent>
                  <w:p w:rsidR="00ED1139" w:rsidRPr="00047E36" w:rsidRDefault="00ED1139" w:rsidP="00ED1139">
                    <w:pPr>
                      <w:pStyle w:val="Footer"/>
                    </w:pPr>
                    <w:r>
                      <w:t>http://www.eupati.eu</w:t>
                    </w:r>
                  </w:p>
                  <w:p w:rsidR="00ED1139" w:rsidRDefault="00ED1139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20955</wp:posOffset>
              </wp:positionV>
              <wp:extent cx="2339340" cy="467995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9B" w:rsidRPr="00ED1139" w:rsidRDefault="00FA019B" w:rsidP="00ED1139">
                          <w:pPr>
                            <w:rPr>
                              <w:color w:val="551A8B"/>
                              <w:sz w:val="24"/>
                              <w:szCs w:val="12"/>
                              <w:lang w:val="en-IE"/>
                            </w:rPr>
                          </w:pPr>
                          <w:r>
                            <w:rPr>
                              <w:sz w:val="24"/>
                              <w:szCs w:val="12"/>
                            </w:rPr>
                            <w:t>Европейская академия пациентов в поддержку терапевтических инноваций</w:t>
                          </w:r>
                          <w:r>
                            <w:rPr>
                              <w:color w:val="551A8B"/>
                              <w:sz w:val="24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551A8B"/>
                              <w:sz w:val="24"/>
                              <w:szCs w:val="12"/>
                            </w:rPr>
                            <w:t xml:space="preserve"> </w:t>
                          </w:r>
                        </w:p>
                        <w:p w:rsidR="00FA019B" w:rsidRPr="00ED1139" w:rsidRDefault="00FA019B" w:rsidP="00ED1139">
                          <w:pPr>
                            <w:rPr>
                              <w:sz w:val="24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4.4pt;margin-top:1.65pt;width:184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75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" filled="f" stroked="f">
              <v:textbox>
                <w:txbxContent>
                  <w:p w:rsidR="00FA019B" w:rsidRPr="00ED1139" w:rsidRDefault="00FA019B" w:rsidP="00ED1139">
                    <w:pPr>
                      <w:rPr>
                        <w:color w:val="551A8B"/>
                        <w:sz w:val="24"/>
                        <w:szCs w:val="12"/>
                        <w:lang w:val="en-IE"/>
                      </w:rPr>
                    </w:pPr>
                    <w:r>
                      <w:rPr>
                        <w:sz w:val="24"/>
                        <w:szCs w:val="12"/>
                      </w:rPr>
                      <w:t>Европейская академия пациентов в поддержку терапевтических инноваций</w:t>
                    </w:r>
                    <w:r>
                      <w:rPr>
                        <w:color w:val="551A8B"/>
                        <w:sz w:val="24"/>
                        <w:szCs w:val="12"/>
                      </w:rPr>
                      <w:t xml:space="preserve"> </w:t>
                    </w:r>
                    <w:r>
                      <w:rPr>
                        <w:color w:val="551A8B"/>
                        <w:sz w:val="24"/>
                        <w:szCs w:val="12"/>
                      </w:rPr>
                      <w:t xml:space="preserve"> </w:t>
                    </w:r>
                  </w:p>
                  <w:p w:rsidR="00FA019B" w:rsidRPr="00ED1139" w:rsidRDefault="00FA019B" w:rsidP="00ED1139">
                    <w:pPr>
                      <w:rPr>
                        <w:sz w:val="24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1057238" cy="589658"/>
          <wp:effectExtent l="19050" t="0" r="0" b="0"/>
          <wp:docPr id="7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5200" cy="5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ab/>
      <w:tab/>
    </w:r>
  </w:p>
  <w:p w:rsidR="001C1135" w:rsidRDefault="001C1135">
    <w:pPr>
      <w:pStyle w:val="Header"/>
    </w:pPr>
  </w:p>
  <w:p w:rsidR="00047E36" w:rsidRDefault="0004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E2A"/>
    <w:multiLevelType w:val="hybridMultilevel"/>
    <w:tmpl w:val="3F063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6E51"/>
    <w:multiLevelType w:val="hybridMultilevel"/>
    <w:tmpl w:val="CC28A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CFD"/>
    <w:multiLevelType w:val="hybridMultilevel"/>
    <w:tmpl w:val="A30A6A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4F50"/>
    <w:multiLevelType w:val="hybridMultilevel"/>
    <w:tmpl w:val="ED0EE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86BD2"/>
    <w:multiLevelType w:val="hybridMultilevel"/>
    <w:tmpl w:val="6590D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E"/>
    <w:rsid w:val="00000666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A2B24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B6993"/>
    <w:rsid w:val="001C1135"/>
    <w:rsid w:val="001C11DC"/>
    <w:rsid w:val="001C1EC1"/>
    <w:rsid w:val="001D02FD"/>
    <w:rsid w:val="001E65BE"/>
    <w:rsid w:val="002042C5"/>
    <w:rsid w:val="002114E4"/>
    <w:rsid w:val="00222A6E"/>
    <w:rsid w:val="00274B8F"/>
    <w:rsid w:val="00280975"/>
    <w:rsid w:val="0029337E"/>
    <w:rsid w:val="002B4E86"/>
    <w:rsid w:val="002D4053"/>
    <w:rsid w:val="002E3270"/>
    <w:rsid w:val="002E7650"/>
    <w:rsid w:val="002F27F8"/>
    <w:rsid w:val="0033333B"/>
    <w:rsid w:val="003430FB"/>
    <w:rsid w:val="003440FF"/>
    <w:rsid w:val="00396DFD"/>
    <w:rsid w:val="003B2377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D315B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410A"/>
    <w:rsid w:val="00575AB1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84D01"/>
    <w:rsid w:val="0069371A"/>
    <w:rsid w:val="00694B23"/>
    <w:rsid w:val="00696A72"/>
    <w:rsid w:val="006E4E00"/>
    <w:rsid w:val="006E6477"/>
    <w:rsid w:val="006F4AD1"/>
    <w:rsid w:val="00701A73"/>
    <w:rsid w:val="00737119"/>
    <w:rsid w:val="00747647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853D7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42B12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95B70"/>
    <w:rsid w:val="00AA25FD"/>
    <w:rsid w:val="00AA6ACC"/>
    <w:rsid w:val="00AA6BFA"/>
    <w:rsid w:val="00AE517C"/>
    <w:rsid w:val="00AF1AD7"/>
    <w:rsid w:val="00B22CC3"/>
    <w:rsid w:val="00B26228"/>
    <w:rsid w:val="00B27E46"/>
    <w:rsid w:val="00B631C2"/>
    <w:rsid w:val="00B72BDB"/>
    <w:rsid w:val="00BA5D8F"/>
    <w:rsid w:val="00BC194A"/>
    <w:rsid w:val="00BC767C"/>
    <w:rsid w:val="00BD5560"/>
    <w:rsid w:val="00BE0FEC"/>
    <w:rsid w:val="00BE669A"/>
    <w:rsid w:val="00C130C1"/>
    <w:rsid w:val="00C2703B"/>
    <w:rsid w:val="00C46A74"/>
    <w:rsid w:val="00C51DA5"/>
    <w:rsid w:val="00C53246"/>
    <w:rsid w:val="00C84033"/>
    <w:rsid w:val="00CA2000"/>
    <w:rsid w:val="00CA4CCE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9392E"/>
    <w:rsid w:val="00DA22AF"/>
    <w:rsid w:val="00DC0EEA"/>
    <w:rsid w:val="00DC437D"/>
    <w:rsid w:val="00DD3E88"/>
    <w:rsid w:val="00DE69E3"/>
    <w:rsid w:val="00DE7632"/>
    <w:rsid w:val="00DF4245"/>
    <w:rsid w:val="00DF51A0"/>
    <w:rsid w:val="00E0121C"/>
    <w:rsid w:val="00E04C9C"/>
    <w:rsid w:val="00E22ACC"/>
    <w:rsid w:val="00E80369"/>
    <w:rsid w:val="00E870D3"/>
    <w:rsid w:val="00E954DA"/>
    <w:rsid w:val="00EB77CD"/>
    <w:rsid w:val="00ED1139"/>
    <w:rsid w:val="00ED3F76"/>
    <w:rsid w:val="00EE055A"/>
    <w:rsid w:val="00EE4398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B4996"/>
    <w:rsid w:val="00FC4F54"/>
    <w:rsid w:val="00FC6BEE"/>
    <w:rsid w:val="00FD453B"/>
    <w:rsid w:val="00FD5452"/>
    <w:rsid w:val="00FE1D95"/>
    <w:rsid w:val="00FE3F4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8B8BFB3-2F72-4807-BA3A-B52B45D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46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rPr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CCE"/>
    <w:pPr>
      <w:spacing w:before="0" w:after="160" w:line="276" w:lineRule="auto"/>
      <w:ind w:left="720"/>
    </w:pPr>
    <w:rPr>
      <w:rFonts w:eastAsia="Calibri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z\Documents\Toolbox-Fact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708E-6B32-453C-87C5-3D05890A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Toolbox-Fact-Sheet-template.dotx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Heidi Scherz</cp:lastModifiedBy>
  <cp:revision>3</cp:revision>
  <cp:lastPrinted>2014-10-24T13:00:00Z</cp:lastPrinted>
  <dcterms:created xsi:type="dcterms:W3CDTF">2015-07-22T07:07:00Z</dcterms:created>
  <dcterms:modified xsi:type="dcterms:W3CDTF">2015-07-22T13:02:00Z</dcterms:modified>
</cp:coreProperties>
</file>