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Default="00ED1139" w:rsidP="005B2D2D">
      <w:pPr>
        <w:spacing w:before="120" w:after="120"/>
        <w:rPr>
          <w:b/>
          <w:sz w:val="36"/>
          <w:szCs w:val="36"/>
        </w:rPr>
        <w:bidi w:val="0"/>
      </w:pPr>
      <w:r>
        <w:rPr>
          <w:sz w:val="36"/>
          <w:szCs w:val="36"/>
          <w:lang w:val="nl-nl"/>
          <w:b w:val="1"/>
          <w:bCs w:val="1"/>
          <w:i w:val="0"/>
          <w:iCs w:val="0"/>
          <w:u w:val="none"/>
          <w:vertAlign w:val="baseline"/>
          <w:rtl w:val="0"/>
        </w:rPr>
        <w:t xml:space="preserve">Factsheet: </w:t>
      </w:r>
      <w:r>
        <w:rPr>
          <w:sz w:val="36"/>
          <w:szCs w:val="36"/>
          <w:lang w:val="nl-nl"/>
          <w:b w:val="1"/>
          <w:bCs w:val="1"/>
          <w:i w:val="0"/>
          <w:iCs w:val="0"/>
          <w:u w:val="none"/>
          <w:vertAlign w:val="baseline"/>
          <w:rtl w:val="0"/>
        </w:rPr>
        <w:t xml:space="preserve">Geïnformeerde toestemming – Voorschriften </w:t>
      </w:r>
    </w:p>
    <w:p w:rsidR="005B2D2D" w:rsidRDefault="005B2D2D" w:rsidP="007A0501"/>
    <w:p w:rsidR="007A0501" w:rsidRDefault="00525650" w:rsidP="00525650">
      <w:pPr>
        <w:spacing w:line="360" w:lineRule="auto"/>
        <w:rPr>
          <w:sz w:val="22"/>
        </w:rPr>
        <w:bidi w:val="0"/>
      </w:pPr>
      <w:r>
        <w:rPr>
          <w:sz w:val="22"/>
          <w:lang w:val="nl-nl"/>
          <w:b w:val="0"/>
          <w:bCs w:val="0"/>
          <w:i w:val="0"/>
          <w:iCs w:val="0"/>
          <w:u w:val="none"/>
          <w:vertAlign w:val="baseline"/>
          <w:rtl w:val="0"/>
        </w:rPr>
        <w:t xml:space="preserve">Voordat deelnemers kunnen worden opgenomen in een klinisch onderzoek, moeten ze worden gescreend op geschiktheid volgens de in het onderzoeksprotocol beschreven criteria. Na screening moet een vertegenwoordiger van de sponsor een gesprek voor geïnformeerde toestemming voeren met deelnemers die geschikt zijn bevonden. Tijdens het toestemmingsgesprek moeten deelnemers meer te weten komen over het doel en de mogelijke voordelen en risico’s van een studie voordat ze besluiten of ze wel of niet willen deelnemen. </w:t>
      </w:r>
    </w:p>
    <w:p w:rsidR="00525650" w:rsidRDefault="00525650" w:rsidP="00525650">
      <w:pPr>
        <w:spacing w:line="360" w:lineRule="auto"/>
        <w:rPr>
          <w:b/>
          <w:sz w:val="24"/>
        </w:rPr>
      </w:pPr>
    </w:p>
    <w:p w:rsidR="00525650" w:rsidRDefault="00525650" w:rsidP="00525650">
      <w:pPr>
        <w:spacing w:line="360" w:lineRule="auto"/>
        <w:rPr>
          <w:b/>
          <w:sz w:val="28"/>
          <w:szCs w:val="28"/>
        </w:rPr>
        <w:bidi w:val="0"/>
      </w:pPr>
      <w:r>
        <w:rPr>
          <w:sz w:val="28"/>
          <w:lang w:val="nl-nl"/>
          <w:b w:val="1"/>
          <w:bCs w:val="1"/>
          <w:i w:val="0"/>
          <w:iCs w:val="0"/>
          <w:u w:val="none"/>
          <w:vertAlign w:val="baseline"/>
          <w:rtl w:val="0"/>
        </w:rPr>
        <w:t xml:space="preserve">Regelgev</w:t>
      </w:r>
      <w:r>
        <w:rPr>
          <w:sz w:val="28"/>
          <w:szCs w:val="28"/>
          <w:lang w:val="nl-nl"/>
          <w:b w:val="1"/>
          <w:bCs w:val="1"/>
          <w:i w:val="0"/>
          <w:iCs w:val="0"/>
          <w:u w:val="none"/>
          <w:vertAlign w:val="baseline"/>
          <w:rtl w:val="0"/>
        </w:rPr>
        <w:t xml:space="preserve">ing en bescherming van deelnemers</w:t>
      </w:r>
    </w:p>
    <w:p w:rsidR="006B3430" w:rsidRDefault="006B3430" w:rsidP="00525650">
      <w:pPr>
        <w:spacing w:line="360" w:lineRule="auto"/>
        <w:rPr>
          <w:sz w:val="22"/>
          <w:szCs w:val="28"/>
        </w:rPr>
        <w:bidi w:val="0"/>
      </w:pPr>
      <w:r>
        <w:rPr>
          <w:sz w:val="22"/>
          <w:szCs w:val="28"/>
          <w:lang w:val="nl-nl"/>
          <w:b w:val="0"/>
          <w:bCs w:val="0"/>
          <w:i w:val="0"/>
          <w:iCs w:val="0"/>
          <w:u w:val="none"/>
          <w:vertAlign w:val="baseline"/>
          <w:rtl w:val="0"/>
        </w:rPr>
        <w:t xml:space="preserve">De procedure voor werving van patiënten en voor geïnformeerde toestemming wordt, net als de rest van het proces van geneesmiddelontwikkeling, gereguleerd via voorschriften en toezichthoudende maatregelen om de rechten, de veiligheid en het welzijn van deelnemers te waarborgen. </w:t>
      </w:r>
    </w:p>
    <w:bookmarkEnd w:id="0"/>
    <w:p w:rsidR="006B3430" w:rsidRPr="00023DBD" w:rsidRDefault="006B3430" w:rsidP="006B3430">
      <w:pPr>
        <w:pStyle w:val="ListParagraph"/>
        <w:numPr>
          <w:ilvl w:val="0"/>
          <w:numId w:val="12"/>
        </w:numPr>
        <w:spacing w:line="360" w:lineRule="auto"/>
        <w:rPr>
          <w:rFonts w:ascii="Arial" w:hAnsi="Arial" w:cs="Arial"/>
          <w:b/>
          <w:szCs w:val="28"/>
        </w:rPr>
        <w:bidi w:val="0"/>
      </w:pPr>
      <w:r>
        <w:rPr>
          <w:rFonts w:ascii="Arial" w:cs="Arial" w:hAnsi="Arial"/>
          <w:szCs w:val="28"/>
          <w:lang w:val="nl-nl"/>
          <w:b w:val="1"/>
          <w:bCs w:val="1"/>
          <w:i w:val="0"/>
          <w:iCs w:val="0"/>
          <w:u w:val="none"/>
          <w:vertAlign w:val="baseline"/>
          <w:rtl w:val="0"/>
        </w:rPr>
        <w:t xml:space="preserve">Wetenschappelijke evaluatie</w:t>
      </w:r>
      <w:r>
        <w:rPr>
          <w:rFonts w:ascii="Arial" w:cs="Arial" w:hAnsi="Arial"/>
          <w:szCs w:val="28"/>
          <w:lang w:val="nl-nl"/>
          <w:b w:val="0"/>
          <w:bCs w:val="0"/>
          <w:i w:val="0"/>
          <w:iCs w:val="0"/>
          <w:u w:val="none"/>
          <w:vertAlign w:val="baseline"/>
          <w:rtl w:val="0"/>
        </w:rPr>
        <w:br w:type="textWrapping"/>
      </w:r>
      <w:r>
        <w:rPr>
          <w:rFonts w:ascii="Arial" w:cs="Arial" w:hAnsi="Arial"/>
          <w:szCs w:val="28"/>
          <w:lang w:val="nl-nl"/>
          <w:b w:val="0"/>
          <w:bCs w:val="0"/>
          <w:i w:val="0"/>
          <w:iCs w:val="0"/>
          <w:u w:val="none"/>
          <w:vertAlign w:val="baseline"/>
          <w:rtl w:val="0"/>
        </w:rPr>
        <w:t xml:space="preserve">Om ervoor te zorgen dat proefpersonen beschermd zijn tijdens een klinisch onderzoek, wordt het onderzoeksprotocol ingediend via een ‘aanvraag voor een klinische proef’ bij de nationale bevoegde autoriteiten die de wetenschappelijke evaluaties verrichten. Zij evalueren en controleren de klinische onderzoeksprotocollen om ervoor te zorgen dat de klinische onderzoeken wetenschappelijk verantwoord zijn – bijvoorbeeld of de gestelde wetenschappelijke vraag zal leiden tot verbetering van de zorg voor patiënten aan het einde van het onderzoek. Andere taken van de commissie zijn:</w:t>
      </w:r>
    </w:p>
    <w:p w:rsidR="00023DBD" w:rsidRPr="00023DBD" w:rsidRDefault="00023DBD" w:rsidP="00023DBD">
      <w:pPr>
        <w:pStyle w:val="ListParagraph"/>
        <w:numPr>
          <w:ilvl w:val="1"/>
          <w:numId w:val="12"/>
        </w:numPr>
        <w:spacing w:line="360" w:lineRule="auto"/>
        <w:rPr>
          <w:rFonts w:ascii="Arial" w:hAnsi="Arial" w:cs="Arial"/>
          <w:b/>
          <w:szCs w:val="28"/>
        </w:rPr>
        <w:bidi w:val="0"/>
      </w:pPr>
      <w:r>
        <w:rPr>
          <w:rFonts w:ascii="Arial" w:cs="Arial" w:hAnsi="Arial"/>
          <w:szCs w:val="28"/>
          <w:lang w:val="nl-nl"/>
          <w:b w:val="0"/>
          <w:bCs w:val="0"/>
          <w:i w:val="0"/>
          <w:iCs w:val="0"/>
          <w:u w:val="none"/>
          <w:vertAlign w:val="baseline"/>
          <w:rtl w:val="0"/>
        </w:rPr>
        <w:t xml:space="preserve">Beoordelen of de gebruikte methoden voor het verzamelen van gegevens passend zijn;</w:t>
      </w:r>
    </w:p>
    <w:p w:rsidR="00023DBD" w:rsidRPr="00023DBD" w:rsidRDefault="00023DBD" w:rsidP="00023DBD">
      <w:pPr>
        <w:pStyle w:val="ListParagraph"/>
        <w:numPr>
          <w:ilvl w:val="1"/>
          <w:numId w:val="12"/>
        </w:numPr>
        <w:spacing w:line="360" w:lineRule="auto"/>
        <w:rPr>
          <w:rFonts w:ascii="Arial" w:hAnsi="Arial" w:cs="Arial"/>
          <w:b/>
          <w:szCs w:val="28"/>
        </w:rPr>
        <w:bidi w:val="0"/>
      </w:pPr>
      <w:r>
        <w:rPr>
          <w:rFonts w:ascii="Arial" w:cs="Arial" w:hAnsi="Arial"/>
          <w:szCs w:val="28"/>
          <w:lang w:val="nl-nl"/>
          <w:b w:val="0"/>
          <w:bCs w:val="0"/>
          <w:i w:val="0"/>
          <w:iCs w:val="0"/>
          <w:u w:val="none"/>
          <w:vertAlign w:val="baseline"/>
          <w:rtl w:val="0"/>
        </w:rPr>
        <w:t xml:space="preserve">Bepalen of de juiste patiënten worden geïncludeerd in het onderzoek;</w:t>
      </w:r>
    </w:p>
    <w:p w:rsidR="00023DBD" w:rsidRPr="00023DBD" w:rsidRDefault="00023DBD" w:rsidP="00023DBD">
      <w:pPr>
        <w:pStyle w:val="ListParagraph"/>
        <w:numPr>
          <w:ilvl w:val="1"/>
          <w:numId w:val="12"/>
        </w:numPr>
        <w:spacing w:line="360" w:lineRule="auto"/>
        <w:rPr>
          <w:rFonts w:ascii="Arial" w:hAnsi="Arial" w:cs="Arial"/>
          <w:b/>
          <w:szCs w:val="28"/>
        </w:rPr>
        <w:bidi w:val="0"/>
      </w:pPr>
      <w:r>
        <w:rPr>
          <w:rFonts w:ascii="Arial" w:cs="Arial" w:hAnsi="Arial"/>
          <w:szCs w:val="28"/>
          <w:lang w:val="nl-nl"/>
          <w:b w:val="0"/>
          <w:bCs w:val="0"/>
          <w:i w:val="0"/>
          <w:iCs w:val="0"/>
          <w:u w:val="none"/>
          <w:vertAlign w:val="baseline"/>
          <w:rtl w:val="0"/>
        </w:rPr>
        <w:t xml:space="preserve">De mensen beoordelen die het onderzoek uitvoeren om er zeker van te zijn dat ze passend gekwalificeerd zijn;</w:t>
      </w:r>
    </w:p>
    <w:p w:rsidR="00023DBD" w:rsidRPr="00023DBD" w:rsidRDefault="00023DBD" w:rsidP="00023DBD">
      <w:pPr>
        <w:pStyle w:val="ListParagraph"/>
        <w:numPr>
          <w:ilvl w:val="1"/>
          <w:numId w:val="12"/>
        </w:numPr>
        <w:spacing w:line="360" w:lineRule="auto"/>
        <w:rPr>
          <w:rFonts w:ascii="Arial" w:hAnsi="Arial" w:cs="Arial"/>
          <w:b/>
          <w:szCs w:val="28"/>
        </w:rPr>
        <w:bidi w:val="0"/>
      </w:pPr>
      <w:r>
        <w:rPr>
          <w:rFonts w:ascii="Arial" w:cs="Arial" w:hAnsi="Arial"/>
          <w:szCs w:val="28"/>
          <w:lang w:val="nl-nl"/>
          <w:b w:val="0"/>
          <w:bCs w:val="0"/>
          <w:i w:val="0"/>
          <w:iCs w:val="0"/>
          <w:u w:val="none"/>
          <w:vertAlign w:val="baseline"/>
          <w:rtl w:val="0"/>
        </w:rPr>
        <w:t xml:space="preserve">Sommige beoordelingscommissies vragen ook de mening van patiënten inzake de voorgestelde onderzoeksopzet.</w:t>
      </w:r>
    </w:p>
    <w:p w:rsidR="00023DBD" w:rsidRPr="00023DBD" w:rsidRDefault="00023DBD" w:rsidP="00023DBD">
      <w:pPr>
        <w:pStyle w:val="ListParagraph"/>
        <w:numPr>
          <w:ilvl w:val="0"/>
          <w:numId w:val="12"/>
        </w:numPr>
        <w:spacing w:line="360" w:lineRule="auto"/>
        <w:rPr>
          <w:rFonts w:ascii="Arial" w:hAnsi="Arial" w:cs="Arial"/>
          <w:b/>
          <w:szCs w:val="28"/>
        </w:rPr>
        <w:bidi w:val="0"/>
      </w:pPr>
      <w:r>
        <w:rPr>
          <w:rFonts w:ascii="Arial" w:cs="Arial" w:hAnsi="Arial"/>
          <w:sz w:val="24"/>
          <w:szCs w:val="28"/>
          <w:lang w:val="nl-nl"/>
          <w:b w:val="1"/>
          <w:bCs w:val="1"/>
          <w:i w:val="0"/>
          <w:iCs w:val="0"/>
          <w:u w:val="none"/>
          <w:vertAlign w:val="baseline"/>
          <w:rtl w:val="0"/>
        </w:rPr>
        <w:t xml:space="preserve">Institutionele beoordeling – Ethische beoordeling</w:t>
      </w:r>
      <w:r>
        <w:rPr>
          <w:rFonts w:ascii="Arial" w:cs="Arial" w:hAnsi="Arial"/>
          <w:sz w:val="24"/>
          <w:szCs w:val="28"/>
          <w:lang w:val="nl-nl"/>
          <w:b w:val="0"/>
          <w:bCs w:val="0"/>
          <w:i w:val="0"/>
          <w:iCs w:val="0"/>
          <w:u w:val="none"/>
          <w:vertAlign w:val="baseline"/>
          <w:rtl w:val="0"/>
        </w:rPr>
        <w:br w:type="textWrapping"/>
      </w:r>
      <w:r>
        <w:rPr>
          <w:rFonts w:ascii="Arial" w:cs="Arial" w:hAnsi="Arial"/>
          <w:sz w:val="24"/>
          <w:szCs w:val="28"/>
          <w:lang w:val="nl-nl"/>
          <w:b w:val="0"/>
          <w:bCs w:val="0"/>
          <w:i w:val="0"/>
          <w:iCs w:val="0"/>
          <w:u w:val="none"/>
          <w:vertAlign w:val="baseline"/>
          <w:rtl w:val="0"/>
        </w:rPr>
        <w:t xml:space="preserve">Een institutionele beoordelingscommissie of medisch-ethische commissie heeft tot doel de rechten, de veiligheid en het welzijn van alle patiënten in een klinisch onderzoek te waarborgen. Er wordt speciale aandacht geschonken aan onderzoeken waarbij ook kwetsbare deelnemers kunnen worden geïncludeerd. De commissie let er ook op dat er geen dwang of ongepaste beïnvloeding van onderzoeksdeelnemers plaatsvindt en controleert elk lopend onderzoek met regelmatige tussenpozen passend bij de mate van risico voor menselijke deelnemers.</w:t>
      </w:r>
    </w:p>
    <w:p w:rsidR="006A10C9" w:rsidRPr="006A10C9" w:rsidRDefault="00023DBD" w:rsidP="006A10C9">
      <w:pPr>
        <w:pStyle w:val="ListParagraph"/>
        <w:numPr>
          <w:ilvl w:val="0"/>
          <w:numId w:val="12"/>
        </w:numPr>
        <w:spacing w:line="360" w:lineRule="auto"/>
        <w:rPr>
          <w:rStyle w:val="Hyperlink"/>
          <w:rFonts w:ascii="Arial" w:hAnsi="Arial" w:cs="Arial"/>
          <w:b/>
          <w:color w:val="auto"/>
          <w:szCs w:val="28"/>
          <w:u w:val="none"/>
        </w:rPr>
        <w:bidi w:val="0"/>
      </w:pPr>
      <w:r>
        <w:rPr>
          <w:rFonts w:ascii="Arial" w:cs="Arial" w:hAnsi="Arial"/>
          <w:sz w:val="24"/>
          <w:szCs w:val="28"/>
          <w:lang w:val="nl-nl"/>
          <w:b w:val="1"/>
          <w:bCs w:val="1"/>
          <w:i w:val="0"/>
          <w:iCs w:val="0"/>
          <w:u w:val="none"/>
          <w:vertAlign w:val="baseline"/>
          <w:rtl w:val="0"/>
        </w:rPr>
        <w:t xml:space="preserve">Richtlijnen voor klinisch onderzoek</w:t>
      </w:r>
      <w:r>
        <w:rPr>
          <w:rFonts w:ascii="Arial" w:cs="Arial" w:hAnsi="Arial"/>
          <w:sz w:val="24"/>
          <w:szCs w:val="28"/>
          <w:lang w:val="nl-nl"/>
          <w:b w:val="0"/>
          <w:bCs w:val="0"/>
          <w:i w:val="0"/>
          <w:iCs w:val="0"/>
          <w:u w:val="none"/>
          <w:vertAlign w:val="baseline"/>
          <w:rtl w:val="0"/>
        </w:rPr>
        <w:br w:type="textWrapping"/>
      </w:r>
      <w:r>
        <w:rPr>
          <w:rFonts w:ascii="Arial" w:cs="Arial" w:hAnsi="Arial"/>
          <w:sz w:val="24"/>
          <w:szCs w:val="28"/>
          <w:lang w:val="nl-nl"/>
          <w:b w:val="0"/>
          <w:bCs w:val="0"/>
          <w:i w:val="0"/>
          <w:iCs w:val="0"/>
          <w:u w:val="none"/>
          <w:vertAlign w:val="baseline"/>
          <w:rtl w:val="0"/>
        </w:rPr>
        <w:t xml:space="preserve">De EU-richtlijn inzake klinisch onderzoek harmoniseert de regels in de EU voor de goedkeuring van een klinisch onderzoek dat in een lidstaat wordt uitgevoerd. Wat betreft nationale bevoegde autoriteiten staan de details beschreven in de </w:t>
      </w:r>
      <w:r>
        <w:rPr>
          <w:rFonts w:ascii="Arial" w:cs="Arial" w:hAnsi="Arial"/>
          <w:sz w:val="24"/>
          <w:szCs w:val="28"/>
          <w:lang w:val="nl-nl"/>
          <w:b w:val="0"/>
          <w:bCs w:val="0"/>
          <w:i w:val="1"/>
          <w:iCs w:val="1"/>
          <w:u w:val="none"/>
          <w:vertAlign w:val="baseline"/>
          <w:rtl w:val="0"/>
        </w:rPr>
        <w:t xml:space="preserve">‘Commissie Gedetailleerde richtsnoeren voor verzoeken aan de bevoegde instanties om toelating van een klinische proef met een geneesmiddel voor menselijk gebruik, voor kennisgevingen van substantiële wijzigingen en voor verklaringen dat de proef is beëindigd (CT-1)’</w:t>
      </w:r>
      <w:r>
        <w:rPr>
          <w:rFonts w:ascii="Arial" w:cs="Arial" w:hAnsi="Arial"/>
          <w:sz w:val="24"/>
          <w:szCs w:val="28"/>
          <w:lang w:val="nl-nl"/>
          <w:b w:val="0"/>
          <w:bCs w:val="0"/>
          <w:i w:val="0"/>
          <w:iCs w:val="0"/>
          <w:u w:val="none"/>
          <w:vertAlign w:val="baseline"/>
          <w:rtl w:val="0"/>
        </w:rPr>
        <w:t xml:space="preserve">. [Beschikbaar op: </w:t>
      </w:r>
      <w:hyperlink r:id="rId7" w:history="1">
        <w:r>
          <w:rPr>
            <w:rStyle w:val="Hyperlink"/>
            <w:rFonts w:ascii="Arial" w:cs="Arial" w:hAnsi="Arial"/>
            <w:lang w:val="nl-nl"/>
            <w:b w:val="0"/>
            <w:bCs w:val="0"/>
            <w:i w:val="0"/>
            <w:iCs w:val="0"/>
            <w:u w:val="single"/>
            <w:vertAlign w:val="baseline"/>
            <w:rtl w:val="0"/>
          </w:rPr>
          <w:t xml:space="preserve">http://ec.europa.eu/health/files/eudralex/vol-10/2010_c82_01/2010_c82_01_en.pdf</w:t>
        </w:r>
      </w:hyperlink>
      <w:r>
        <w:rPr>
          <w:rStyle w:val="Hyperlink"/>
          <w:rFonts w:ascii="Arial" w:cs="Arial" w:hAnsi="Arial"/>
          <w:lang w:val="nl-nl"/>
          <w:b w:val="0"/>
          <w:bCs w:val="0"/>
          <w:i w:val="0"/>
          <w:iCs w:val="0"/>
          <w:u w:val="single"/>
          <w:vertAlign w:val="baseline"/>
          <w:rtl w:val="0"/>
        </w:rPr>
        <w:t xml:space="preserve"> </w:t>
      </w:r>
      <w:r>
        <w:rPr>
          <w:rStyle w:val="Hyperlink"/>
          <w:rFonts w:ascii="Arial" w:cs="Arial" w:hAnsi="Arial"/>
          <w:color w:val="auto"/>
          <w:lang w:val="nl-nl"/>
          <w:b w:val="0"/>
          <w:bCs w:val="0"/>
          <w:i w:val="0"/>
          <w:iCs w:val="0"/>
          <w:u w:val="none"/>
          <w:vertAlign w:val="baseline"/>
          <w:rtl w:val="0"/>
        </w:rPr>
        <w:t xml:space="preserve">, 8.12.2015]</w:t>
      </w:r>
      <w:r>
        <w:rPr>
          <w:rStyle w:val="Hyperlink"/>
          <w:rFonts w:ascii="Arial" w:cs="Arial" w:hAnsi="Arial"/>
          <w:color w:val="auto"/>
          <w:lang w:val="nl-nl"/>
          <w:b w:val="0"/>
          <w:bCs w:val="0"/>
          <w:i w:val="0"/>
          <w:iCs w:val="0"/>
          <w:u w:val="none"/>
          <w:vertAlign w:val="baseline"/>
          <w:rtl w:val="0"/>
        </w:rPr>
        <w:br w:type="textWrapping"/>
      </w:r>
      <w:r>
        <w:rPr>
          <w:rStyle w:val="Hyperlink"/>
          <w:rFonts w:ascii="Arial" w:cs="Arial" w:hAnsi="Arial"/>
          <w:color w:val="auto"/>
          <w:lang w:val="nl-nl"/>
          <w:b w:val="0"/>
          <w:bCs w:val="0"/>
          <w:i w:val="0"/>
          <w:iCs w:val="0"/>
          <w:u w:val="none"/>
          <w:vertAlign w:val="baseline"/>
          <w:rtl w:val="0"/>
        </w:rPr>
        <w:t xml:space="preserve">Deze richtlijnen:</w:t>
      </w:r>
    </w:p>
    <w:p w:rsidR="006A10C9" w:rsidRPr="006A10C9" w:rsidRDefault="006A10C9" w:rsidP="006A10C9">
      <w:pPr>
        <w:pStyle w:val="ListParagraph"/>
        <w:numPr>
          <w:ilvl w:val="1"/>
          <w:numId w:val="12"/>
        </w:numPr>
        <w:spacing w:line="360" w:lineRule="auto"/>
        <w:rPr>
          <w:rFonts w:ascii="Arial" w:hAnsi="Arial" w:cs="Arial"/>
          <w:b/>
          <w:color w:val="auto"/>
          <w:szCs w:val="28"/>
        </w:rPr>
        <w:bidi w:val="0"/>
      </w:pPr>
      <w:r>
        <w:rPr>
          <w:rFonts w:ascii="Arial" w:cs="Arial" w:hAnsi="Arial"/>
          <w:sz w:val="24"/>
          <w:szCs w:val="28"/>
          <w:lang w:val="nl-nl"/>
          <w:b w:val="0"/>
          <w:bCs w:val="0"/>
          <w:i w:val="0"/>
          <w:iCs w:val="0"/>
          <w:u w:val="none"/>
          <w:vertAlign w:val="baseline"/>
          <w:rtl w:val="0"/>
        </w:rPr>
        <w:t xml:space="preserve">Standaardiseren ontwerp, ondertekening, uitvoering, vastlegging en rapportage van onderzoeken met menselijke deelnemers </w:t>
      </w:r>
    </w:p>
    <w:p w:rsidR="006A10C9" w:rsidRPr="006A10C9" w:rsidRDefault="006A10C9" w:rsidP="006A10C9">
      <w:pPr>
        <w:pStyle w:val="ListParagraph"/>
        <w:numPr>
          <w:ilvl w:val="1"/>
          <w:numId w:val="12"/>
        </w:numPr>
        <w:spacing w:line="360" w:lineRule="auto"/>
        <w:rPr>
          <w:rFonts w:ascii="Arial" w:hAnsi="Arial" w:cs="Arial"/>
          <w:b/>
          <w:color w:val="auto"/>
          <w:szCs w:val="28"/>
        </w:rPr>
        <w:bidi w:val="0"/>
      </w:pPr>
      <w:r>
        <w:rPr>
          <w:rFonts w:ascii="Arial" w:cs="Arial" w:hAnsi="Arial"/>
          <w:sz w:val="24"/>
          <w:szCs w:val="28"/>
          <w:lang w:val="nl-nl"/>
          <w:b w:val="0"/>
          <w:bCs w:val="0"/>
          <w:i w:val="0"/>
          <w:iCs w:val="0"/>
          <w:u w:val="none"/>
          <w:vertAlign w:val="baseline"/>
          <w:rtl w:val="0"/>
        </w:rPr>
        <w:t xml:space="preserve">Bieden publieke waarborging dat de rechten, de veiligheid en het welzijn van deelnemers zijn beschermd</w:t>
      </w:r>
    </w:p>
    <w:p w:rsidR="006A10C9" w:rsidRPr="006A10C9" w:rsidRDefault="006A10C9" w:rsidP="006A10C9">
      <w:pPr>
        <w:pStyle w:val="ListParagraph"/>
        <w:numPr>
          <w:ilvl w:val="1"/>
          <w:numId w:val="12"/>
        </w:numPr>
        <w:spacing w:line="360" w:lineRule="auto"/>
        <w:rPr>
          <w:rFonts w:ascii="Arial" w:hAnsi="Arial" w:cs="Arial"/>
          <w:b/>
          <w:color w:val="auto"/>
          <w:szCs w:val="28"/>
        </w:rPr>
        <w:bidi w:val="0"/>
      </w:pPr>
      <w:r>
        <w:rPr>
          <w:rFonts w:ascii="Arial" w:cs="Arial" w:hAnsi="Arial"/>
          <w:color w:val="auto"/>
          <w:szCs w:val="28"/>
          <w:lang w:val="nl-nl"/>
          <w:b w:val="0"/>
          <w:bCs w:val="0"/>
          <w:i w:val="0"/>
          <w:iCs w:val="0"/>
          <w:u w:val="none"/>
          <w:vertAlign w:val="baseline"/>
          <w:rtl w:val="0"/>
        </w:rPr>
        <w:t xml:space="preserve">Stellen de richtlijnen voor het schriftelijke formulier voor geïnformeerde toestemming vast – bijvoorbeeld dat het formulier moet worden geschreven in een niet-technische taal en begrijpelijk moet zijn voor de patiënt of voor de vertegenwoordiger van de patiënt.</w:t>
      </w:r>
    </w:p>
    <w:p w:rsidR="006A10C9" w:rsidRPr="00D61E5B" w:rsidRDefault="006A10C9" w:rsidP="006A10C9">
      <w:pPr>
        <w:pStyle w:val="ListParagraph"/>
        <w:numPr>
          <w:ilvl w:val="1"/>
          <w:numId w:val="12"/>
        </w:numPr>
        <w:spacing w:line="360" w:lineRule="auto"/>
        <w:rPr>
          <w:rFonts w:ascii="Arial" w:hAnsi="Arial" w:cs="Arial"/>
          <w:b/>
          <w:color w:val="auto"/>
          <w:szCs w:val="28"/>
        </w:rPr>
        <w:bidi w:val="0"/>
      </w:pPr>
      <w:r>
        <w:rPr>
          <w:rFonts w:ascii="Arial" w:cs="Arial" w:hAnsi="Arial"/>
          <w:color w:val="auto"/>
          <w:szCs w:val="28"/>
          <w:lang w:val="nl-nl"/>
          <w:b w:val="0"/>
          <w:bCs w:val="0"/>
          <w:i w:val="0"/>
          <w:iCs w:val="0"/>
          <w:u w:val="none"/>
          <w:vertAlign w:val="baseline"/>
          <w:rtl w:val="0"/>
        </w:rPr>
        <w:t xml:space="preserve">Schrijven voor dat de patiënt ruim de tijd moet krijgen om informatie in te winnen over het klinische onderzoek en te beslissen over wel of niet deelnemen. </w:t>
      </w:r>
    </w:p>
    <w:p w:rsidR="00D61E5B" w:rsidRPr="006A10C9" w:rsidRDefault="00D61E5B" w:rsidP="006A10C9">
      <w:pPr>
        <w:pStyle w:val="ListParagraph"/>
        <w:numPr>
          <w:ilvl w:val="1"/>
          <w:numId w:val="12"/>
        </w:numPr>
        <w:spacing w:line="360" w:lineRule="auto"/>
        <w:rPr>
          <w:rFonts w:ascii="Arial" w:hAnsi="Arial" w:cs="Arial"/>
          <w:b/>
          <w:color w:val="auto"/>
          <w:szCs w:val="28"/>
        </w:rPr>
        <w:bidi w:val="0"/>
      </w:pPr>
      <w:r>
        <w:rPr>
          <w:rFonts w:ascii="Arial" w:cs="Arial" w:hAnsi="Arial"/>
          <w:color w:val="auto"/>
          <w:szCs w:val="28"/>
          <w:lang w:val="nl-nl"/>
          <w:b w:val="0"/>
          <w:bCs w:val="0"/>
          <w:i w:val="0"/>
          <w:iCs w:val="0"/>
          <w:u w:val="none"/>
          <w:vertAlign w:val="baseline"/>
          <w:rtl w:val="0"/>
        </w:rPr>
        <w:t xml:space="preserve">Stellen dat het toestemmingsformulier moet worden ondertekend door zowel de patiënt of zijn/haar wettelijke vertegenwoordiger als de vertegenwoordiger van het onderzoek die het onderzoek met de patiënt heeft besproken. </w:t>
      </w:r>
    </w:p>
    <w:p w:rsidR="006B3430" w:rsidRPr="006B3430" w:rsidRDefault="006B3430" w:rsidP="00525650">
      <w:pPr>
        <w:spacing w:line="360" w:lineRule="auto"/>
        <w:rPr>
          <w:b/>
          <w:sz w:val="22"/>
        </w:rPr>
      </w:pPr>
    </w:p>
    <w:sectPr w:rsidR="006B3430" w:rsidRPr="006B3430" w:rsidSect="008F1493">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D4" w:rsidRDefault="00E036D4" w:rsidP="00527DB1">
      <w:pPr>
        <w:spacing w:before="0"/>
      </w:pPr>
      <w:r>
        <w:separator/>
      </w:r>
    </w:p>
  </w:endnote>
  <w:endnote w:type="continuationSeparator" w:id="0">
    <w:p w:rsidR="00E036D4" w:rsidRDefault="00E036D4" w:rsidP="00527DB1">
      <w:pPr>
        <w:spacing w:before="0"/>
      </w:pPr>
      <w:r>
        <w:continuationSeparator/>
      </w:r>
    </w:p>
  </w:endnote>
  <w:endnote w:type="continuationNotice" w:id="1">
    <w:p w:rsidR="00E036D4" w:rsidRDefault="00E036D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bidi w:val="0"/>
        </w:pPr>
        <w:r>
          <w:rPr>
            <w:noProof/>
            <w:lang w:val="nl-nl"/>
            <w:b w:val="0"/>
            <w:bCs w:val="0"/>
            <w:i w:val="0"/>
            <w:iCs w:val="0"/>
            <w:u w:val="none"/>
            <w:vertAlign w:val="baseline"/>
            <w:rtl w:val="0"/>
          </w:rP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rPr>
            <w:lang w:val="nl-nl"/>
            <w:b w:val="0"/>
            <w:bCs w:val="0"/>
            <w:i w:val="0"/>
            <w:iCs w:val="0"/>
            <w:u w:val="none"/>
            <w:vertAlign w:val="baseline"/>
            <w:rtl w:val="0"/>
          </w:rPr>
          <w:fldChar w:fldCharType="begin"/>
        </w:r>
        <w:r>
          <w:rPr>
            <w:lang w:val="nl-nl"/>
            <w:b w:val="0"/>
            <w:bCs w:val="0"/>
            <w:i w:val="0"/>
            <w:iCs w:val="0"/>
            <w:u w:val="none"/>
            <w:vertAlign w:val="baseline"/>
            <w:rtl w:val="0"/>
          </w:rPr>
          <w:instrText xml:space="preserve"> PAGE   \* MERGEFORMAT </w:instrText>
        </w:r>
        <w:r>
          <w:rPr>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2</w:t>
        </w:r>
        <w:r>
          <w:rPr>
            <w:noProof/>
            <w:lang w:val="nl-nl"/>
            <w:b w:val="0"/>
            <w:bCs w:val="0"/>
            <w:i w:val="0"/>
            <w:iCs w:val="0"/>
            <w:u w:val="none"/>
            <w:vertAlign w:val="baseline"/>
            <w:rtl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D4" w:rsidRDefault="00E036D4" w:rsidP="00527DB1">
      <w:pPr>
        <w:spacing w:before="0"/>
      </w:pPr>
      <w:r>
        <w:separator/>
      </w:r>
    </w:p>
  </w:footnote>
  <w:footnote w:type="continuationSeparator" w:id="0">
    <w:p w:rsidR="00E036D4" w:rsidRDefault="00E036D4" w:rsidP="00527DB1">
      <w:pPr>
        <w:spacing w:before="0"/>
      </w:pPr>
      <w:r>
        <w:continuationSeparator/>
      </w:r>
    </w:p>
  </w:footnote>
  <w:footnote w:type="continuationNotice" w:id="1">
    <w:p w:rsidR="00E036D4" w:rsidRDefault="00E036D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2E7650" w:rsidP="00FA019B">
    <w:pPr>
      <w:pStyle w:val="Header"/>
      <w:tabs>
        <w:tab w:val="clear" w:pos="9072"/>
        <w:tab w:val="left" w:pos="1279"/>
        <w:tab w:val="right" w:pos="9070"/>
      </w:tabs>
      <w:bidi w:val="0"/>
    </w:pPr>
    <w:r>
      <w:rPr>
        <w:noProof/>
        <w:lang w:val="nl-nl"/>
        <w:b w:val="0"/>
        <w:bCs w:val="0"/>
        <w:i w:val="0"/>
        <w:iCs w:val="0"/>
        <w:u w:val="none"/>
        <w:vertAlign w:val="baseline"/>
        <w:rtl w:val="0"/>
      </w:rPr>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bidi w:val="0"/>
                </w:pPr>
                <w:r>
                  <w:rPr>
                    <w:lang w:val="nl-nl"/>
                    <w:b w:val="0"/>
                    <w:bCs w:val="0"/>
                    <w:i w:val="0"/>
                    <w:iCs w:val="0"/>
                    <w:u w:val="none"/>
                    <w:vertAlign w:val="baseline"/>
                    <w:rtl w:val="0"/>
                  </w:rPr>
                  <w:t xml:space="preserve">http://www.eupati.eu</w:t>
                </w:r>
              </w:p>
              <w:p w:rsidR="00ED1139" w:rsidRDefault="00ED1139"/>
            </w:txbxContent>
          </v:textbox>
        </v:shape>
      </w:pict>
    </w:r>
    <w:r>
      <w:rPr>
        <w:noProof/>
        <w:lang w:val="nl-nl"/>
        <w:b w:val="0"/>
        <w:bCs w:val="0"/>
        <w:i w:val="0"/>
        <w:iCs w:val="0"/>
        <w:u w:val="none"/>
        <w:vertAlign w:val="baseline"/>
        <w:rtl w:val="0"/>
      </w:rPr>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rPr>
                  <w:bidi w:val="0"/>
                </w:pPr>
                <w:r>
                  <w:rPr>
                    <w:sz w:val="24"/>
                    <w:szCs w:val="12"/>
                    <w:lang w:val="nl-nl"/>
                    <w:b w:val="0"/>
                    <w:bCs w:val="0"/>
                    <w:i w:val="0"/>
                    <w:iCs w:val="0"/>
                    <w:u w:val="none"/>
                    <w:vertAlign w:val="baseline"/>
                    <w:rtl w:val="0"/>
                  </w:rPr>
                  <w:t xml:space="preserve">European</w:t>
                </w:r>
                <w:r>
                  <w:rPr>
                    <w:color w:val="551A8B"/>
                    <w:sz w:val="24"/>
                    <w:szCs w:val="12"/>
                    <w:lang w:val="nl-nl"/>
                    <w:b w:val="0"/>
                    <w:bCs w:val="0"/>
                    <w:i w:val="0"/>
                    <w:iCs w:val="0"/>
                    <w:u w:val="none"/>
                    <w:vertAlign w:val="baseline"/>
                    <w:rtl w:val="0"/>
                  </w:rPr>
                  <w:t xml:space="preserve"> </w:t>
                </w:r>
                <w:r>
                  <w:rPr>
                    <w:color w:val="022F68"/>
                    <w:sz w:val="24"/>
                    <w:szCs w:val="12"/>
                    <w:lang w:val="nl-nl"/>
                    <w:b w:val="0"/>
                    <w:bCs w:val="0"/>
                    <w:i w:val="0"/>
                    <w:iCs w:val="0"/>
                    <w:u w:val="none"/>
                    <w:vertAlign w:val="baseline"/>
                    <w:rtl w:val="0"/>
                  </w:rPr>
                  <w:t xml:space="preserve">Patients’ Academy</w:t>
                </w:r>
                <w:r>
                  <w:rPr>
                    <w:color w:val="551A8B"/>
                    <w:sz w:val="24"/>
                    <w:szCs w:val="12"/>
                    <w:lang w:val="nl-nl"/>
                    <w:b w:val="0"/>
                    <w:bCs w:val="0"/>
                    <w:i w:val="0"/>
                    <w:iCs w:val="0"/>
                    <w:u w:val="none"/>
                    <w:vertAlign w:val="baseline"/>
                    <w:rtl w:val="0"/>
                  </w:rPr>
                  <w:t xml:space="preserve"> </w:t>
                </w:r>
                <w:r>
                  <w:rPr>
                    <w:sz w:val="24"/>
                    <w:szCs w:val="12"/>
                    <w:lang w:val="nl-nl"/>
                    <w:b w:val="0"/>
                    <w:bCs w:val="0"/>
                    <w:i w:val="0"/>
                    <w:iCs w:val="0"/>
                    <w:u w:val="none"/>
                    <w:vertAlign w:val="baseline"/>
                    <w:rtl w:val="0"/>
                  </w:rPr>
                  <w:t xml:space="preserve">voor Therapeutische Innovatie</w:t>
                </w:r>
              </w:p>
              <w:p w:rsidR="00FA019B" w:rsidRPr="00ED1139" w:rsidRDefault="00FA019B" w:rsidP="00ED1139">
                <w:pPr>
                  <w:rPr>
                    <w:sz w:val="24"/>
                    <w:szCs w:val="12"/>
                  </w:rPr>
                </w:pPr>
              </w:p>
            </w:txbxContent>
          </v:textbox>
        </v:shape>
      </w:pict>
    </w:r>
    <w:r>
      <w:rPr>
        <w:noProof/>
        <w:lang w:val="nl-nl"/>
        <w:b w:val="0"/>
        <w:bCs w:val="0"/>
        <w:i w:val="0"/>
        <w:iCs w:val="0"/>
        <w:u w:val="none"/>
        <w:vertAlign w:val="baseline"/>
        <w:rtl w:val="0"/>
      </w:rP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rPr>
        <w:lang w:val="nl-nl"/>
        <w:b w:val="0"/>
        <w:bCs w:val="0"/>
        <w:i w:val="0"/>
        <w:iCs w:val="0"/>
        <w:u w:val="none"/>
        <w:vertAlign w:val="baseline"/>
        <w:rtl w:val="0"/>
      </w:rPr>
      <w:tab/>
    </w:r>
    <w:r>
      <w:rPr>
        <w:lang w:val="nl-nl"/>
        <w:b w:val="0"/>
        <w:bCs w:val="0"/>
        <w:i w:val="0"/>
        <w:iCs w:val="0"/>
        <w:u w:val="none"/>
        <w:vertAlign w:val="baseline"/>
        <w:rtl w:val="0"/>
      </w:rPr>
      <w:tab/>
    </w:r>
    <w:r>
      <w:rPr>
        <w:lang w:val="nl-nl"/>
        <w:b w:val="0"/>
        <w:bCs w:val="0"/>
        <w:i w:val="0"/>
        <w:iCs w:val="0"/>
        <w:u w:val="none"/>
        <w:vertAlign w:val="baseline"/>
        <w:rtl w:val="0"/>
      </w:rPr>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FDE03FC"/>
    <w:multiLevelType w:val="hybridMultilevel"/>
    <w:tmpl w:val="0D328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4"/>
  </w:num>
  <w:num w:numId="6">
    <w:abstractNumId w:val="11"/>
  </w:num>
  <w:num w:numId="7">
    <w:abstractNumId w:val="7"/>
  </w:num>
  <w:num w:numId="8">
    <w:abstractNumId w:val="8"/>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1"/>
    <w:rsid w:val="00000666"/>
    <w:rsid w:val="00023DBD"/>
    <w:rsid w:val="00037816"/>
    <w:rsid w:val="0004195D"/>
    <w:rsid w:val="00047DAD"/>
    <w:rsid w:val="00047E36"/>
    <w:rsid w:val="0005038B"/>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E765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5650"/>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A10C9"/>
    <w:rsid w:val="006B3430"/>
    <w:rsid w:val="006E6477"/>
    <w:rsid w:val="006F4AD1"/>
    <w:rsid w:val="00701A73"/>
    <w:rsid w:val="00737119"/>
    <w:rsid w:val="007621A4"/>
    <w:rsid w:val="007705E8"/>
    <w:rsid w:val="00782A28"/>
    <w:rsid w:val="007866C9"/>
    <w:rsid w:val="0079540F"/>
    <w:rsid w:val="007979F2"/>
    <w:rsid w:val="007A0501"/>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77E41"/>
    <w:rsid w:val="00BA5D8F"/>
    <w:rsid w:val="00BC194A"/>
    <w:rsid w:val="00BC767C"/>
    <w:rsid w:val="00BD5560"/>
    <w:rsid w:val="00BE0FEC"/>
    <w:rsid w:val="00BE669A"/>
    <w:rsid w:val="00C130C1"/>
    <w:rsid w:val="00C2703B"/>
    <w:rsid w:val="00C46A74"/>
    <w:rsid w:val="00C51DA5"/>
    <w:rsid w:val="00C53246"/>
    <w:rsid w:val="00C84033"/>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61E5B"/>
    <w:rsid w:val="00D9392E"/>
    <w:rsid w:val="00DA22AF"/>
    <w:rsid w:val="00DC0EEA"/>
    <w:rsid w:val="00DC437D"/>
    <w:rsid w:val="00DD3E88"/>
    <w:rsid w:val="00DE69E3"/>
    <w:rsid w:val="00DE7632"/>
    <w:rsid w:val="00DF4245"/>
    <w:rsid w:val="00DF51A0"/>
    <w:rsid w:val="00E0121C"/>
    <w:rsid w:val="00E036D4"/>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lang w:val="en-I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lang w:val="en-US"/>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lang w:val="en-IE" w:eastAsia="en-IE"/>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lang w:val="en-I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lang w:val="en-I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lang w:val="en-GB"/>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lang w:val="en-I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ec.europa.eu/health/files/eudralex/vol-10/2010_c82_01/2010_c82_01_en.pd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cuments\Toolbox-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Toolbox-Fact-Sheet-template.dotx</Template>
  <TotalTime>25</TotalTime>
  <Pages>2</Pages>
  <Words>513</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Heidi Scherz</cp:lastModifiedBy>
  <cp:revision>4</cp:revision>
  <cp:lastPrinted>2014-10-24T13:00:00Z</cp:lastPrinted>
  <dcterms:created xsi:type="dcterms:W3CDTF">2015-08-12T13:20:00Z</dcterms:created>
  <dcterms:modified xsi:type="dcterms:W3CDTF">2015-08-12T13:57:00Z</dcterms:modified>
</cp:coreProperties>
</file>