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139" w:rsidRDefault="00ED1139" w:rsidP="005B2D2D">
      <w:pPr>
        <w:spacing w:before="120" w:after="120"/>
        <w:rPr>
          <w:b/>
          <w:sz w:val="36"/>
          <w:szCs w:val="36"/>
        </w:rPr>
      </w:pPr>
      <w:r w:rsidRPr="00ED1139">
        <w:rPr>
          <w:b/>
          <w:sz w:val="36"/>
          <w:szCs w:val="36"/>
        </w:rPr>
        <w:t xml:space="preserve">Fact Sheet: </w:t>
      </w:r>
      <w:r w:rsidR="007A0501" w:rsidRPr="007A0501">
        <w:rPr>
          <w:b/>
          <w:sz w:val="36"/>
          <w:szCs w:val="36"/>
        </w:rPr>
        <w:t>Informed Consent</w:t>
      </w:r>
      <w:r w:rsidR="00D61E5B">
        <w:rPr>
          <w:b/>
          <w:sz w:val="36"/>
          <w:szCs w:val="36"/>
        </w:rPr>
        <w:t xml:space="preserve"> – Regulations </w:t>
      </w:r>
    </w:p>
    <w:p w:rsidR="005B2D2D" w:rsidRDefault="005B2D2D" w:rsidP="007A0501"/>
    <w:p w:rsidR="007A0501" w:rsidRDefault="00525650" w:rsidP="00525650">
      <w:pPr>
        <w:spacing w:line="360" w:lineRule="auto"/>
        <w:rPr>
          <w:sz w:val="22"/>
        </w:rPr>
      </w:pPr>
      <w:r w:rsidRPr="00525650">
        <w:rPr>
          <w:sz w:val="22"/>
        </w:rPr>
        <w:t xml:space="preserve">Before a participant can enrol in a clinical trial, they </w:t>
      </w:r>
      <w:r>
        <w:rPr>
          <w:sz w:val="22"/>
        </w:rPr>
        <w:t xml:space="preserve">must be screened for eligibility according to the criteria defined in the trial protocol. After screening, eligible participants should have an informed consent discussion with a sponsor representative. During the informed consent discussion, the participant should learn of the purpose and potential benefits and risks of a study before they decide whether or not they wish to participate. </w:t>
      </w:r>
    </w:p>
    <w:p w:rsidR="00525650" w:rsidRDefault="00525650" w:rsidP="00525650">
      <w:pPr>
        <w:spacing w:line="360" w:lineRule="auto"/>
        <w:rPr>
          <w:b/>
          <w:sz w:val="24"/>
        </w:rPr>
      </w:pPr>
    </w:p>
    <w:p w:rsidR="00525650" w:rsidRDefault="00525650" w:rsidP="00525650">
      <w:pPr>
        <w:spacing w:line="360" w:lineRule="auto"/>
        <w:rPr>
          <w:b/>
          <w:sz w:val="28"/>
          <w:szCs w:val="28"/>
        </w:rPr>
      </w:pPr>
      <w:r w:rsidRPr="006B3430">
        <w:rPr>
          <w:b/>
          <w:sz w:val="28"/>
        </w:rPr>
        <w:t>Regulatio</w:t>
      </w:r>
      <w:r w:rsidRPr="006B3430">
        <w:rPr>
          <w:b/>
          <w:sz w:val="28"/>
          <w:szCs w:val="28"/>
        </w:rPr>
        <w:t xml:space="preserve">ns </w:t>
      </w:r>
      <w:r w:rsidR="006B3430" w:rsidRPr="006B3430">
        <w:rPr>
          <w:b/>
          <w:sz w:val="28"/>
          <w:szCs w:val="28"/>
        </w:rPr>
        <w:t>and participant safeguards</w:t>
      </w:r>
    </w:p>
    <w:p w:rsidR="006B3430" w:rsidRDefault="006B3430" w:rsidP="00525650">
      <w:pPr>
        <w:spacing w:line="360" w:lineRule="auto"/>
        <w:rPr>
          <w:sz w:val="22"/>
          <w:szCs w:val="28"/>
        </w:rPr>
      </w:pPr>
      <w:bookmarkStart w:id="0" w:name="_GoBack"/>
      <w:r>
        <w:rPr>
          <w:sz w:val="22"/>
          <w:szCs w:val="28"/>
        </w:rPr>
        <w:t xml:space="preserve">The process of patient recruitment and informed consent is, as the rest of the medicines development process, governed by regulations and subject to review in order to ensure the rights, safety, and well-being of participants. </w:t>
      </w:r>
    </w:p>
    <w:bookmarkEnd w:id="0"/>
    <w:p w:rsidR="006B3430" w:rsidRPr="00023DBD" w:rsidRDefault="006B3430" w:rsidP="006B3430">
      <w:pPr>
        <w:pStyle w:val="ListParagraph"/>
        <w:numPr>
          <w:ilvl w:val="0"/>
          <w:numId w:val="12"/>
        </w:numPr>
        <w:spacing w:line="360" w:lineRule="auto"/>
        <w:rPr>
          <w:rFonts w:ascii="Arial" w:hAnsi="Arial" w:cs="Arial"/>
          <w:b/>
          <w:szCs w:val="28"/>
        </w:rPr>
      </w:pPr>
      <w:r w:rsidRPr="006B3430">
        <w:rPr>
          <w:rFonts w:ascii="Arial" w:hAnsi="Arial" w:cs="Arial"/>
          <w:b/>
          <w:szCs w:val="28"/>
        </w:rPr>
        <w:t>Scientific Review</w:t>
      </w:r>
      <w:r>
        <w:rPr>
          <w:rFonts w:ascii="Arial" w:hAnsi="Arial" w:cs="Arial"/>
          <w:b/>
          <w:szCs w:val="28"/>
        </w:rPr>
        <w:br/>
      </w:r>
      <w:r w:rsidRPr="006B3430">
        <w:rPr>
          <w:rFonts w:ascii="Arial" w:hAnsi="Arial" w:cs="Arial"/>
          <w:szCs w:val="28"/>
        </w:rPr>
        <w:t xml:space="preserve">In order to guarantee that subjects are protected during a trial, the study protocol is </w:t>
      </w:r>
      <w:r>
        <w:rPr>
          <w:rFonts w:ascii="Arial" w:hAnsi="Arial" w:cs="Arial"/>
          <w:szCs w:val="28"/>
        </w:rPr>
        <w:t xml:space="preserve">submitted in a Clinical Trial Application to the national competent authorities who perform the scientific evaluations. They review and monitor </w:t>
      </w:r>
      <w:r w:rsidR="00023DBD">
        <w:rPr>
          <w:rFonts w:ascii="Arial" w:hAnsi="Arial" w:cs="Arial"/>
          <w:szCs w:val="28"/>
        </w:rPr>
        <w:t>clinical trial protocols to ensure the clinical trials are scientifically sound – for instance, if the scientific question being asked will result in an improvement in patient care by the end of the trial. The committee also:</w:t>
      </w:r>
    </w:p>
    <w:p w:rsidR="00023DBD" w:rsidRPr="00023DBD" w:rsidRDefault="00023DBD" w:rsidP="00023DBD">
      <w:pPr>
        <w:pStyle w:val="ListParagraph"/>
        <w:numPr>
          <w:ilvl w:val="1"/>
          <w:numId w:val="12"/>
        </w:numPr>
        <w:spacing w:line="360" w:lineRule="auto"/>
        <w:rPr>
          <w:rFonts w:ascii="Arial" w:hAnsi="Arial" w:cs="Arial"/>
          <w:b/>
          <w:szCs w:val="28"/>
        </w:rPr>
      </w:pPr>
      <w:r>
        <w:rPr>
          <w:rFonts w:ascii="Arial" w:hAnsi="Arial" w:cs="Arial"/>
          <w:szCs w:val="28"/>
        </w:rPr>
        <w:t>Assesses whether the methods used to collect data are appropriate;</w:t>
      </w:r>
    </w:p>
    <w:p w:rsidR="00023DBD" w:rsidRPr="00023DBD" w:rsidRDefault="00023DBD" w:rsidP="00023DBD">
      <w:pPr>
        <w:pStyle w:val="ListParagraph"/>
        <w:numPr>
          <w:ilvl w:val="1"/>
          <w:numId w:val="12"/>
        </w:numPr>
        <w:spacing w:line="360" w:lineRule="auto"/>
        <w:rPr>
          <w:rFonts w:ascii="Arial" w:hAnsi="Arial" w:cs="Arial"/>
          <w:b/>
          <w:szCs w:val="28"/>
        </w:rPr>
      </w:pPr>
      <w:r>
        <w:rPr>
          <w:rFonts w:ascii="Arial" w:hAnsi="Arial" w:cs="Arial"/>
          <w:szCs w:val="28"/>
        </w:rPr>
        <w:t>Determines whether the right patients will be included in the trial;</w:t>
      </w:r>
    </w:p>
    <w:p w:rsidR="00023DBD" w:rsidRPr="00023DBD" w:rsidRDefault="00023DBD" w:rsidP="00023DBD">
      <w:pPr>
        <w:pStyle w:val="ListParagraph"/>
        <w:numPr>
          <w:ilvl w:val="1"/>
          <w:numId w:val="12"/>
        </w:numPr>
        <w:spacing w:line="360" w:lineRule="auto"/>
        <w:rPr>
          <w:rFonts w:ascii="Arial" w:hAnsi="Arial" w:cs="Arial"/>
          <w:b/>
          <w:szCs w:val="28"/>
        </w:rPr>
      </w:pPr>
      <w:r>
        <w:rPr>
          <w:rFonts w:ascii="Arial" w:hAnsi="Arial" w:cs="Arial"/>
          <w:szCs w:val="28"/>
        </w:rPr>
        <w:t>Reviews the people running the trial to make sure they are suitably qualified;</w:t>
      </w:r>
    </w:p>
    <w:p w:rsidR="00023DBD" w:rsidRPr="00023DBD" w:rsidRDefault="00023DBD" w:rsidP="00023DBD">
      <w:pPr>
        <w:pStyle w:val="ListParagraph"/>
        <w:numPr>
          <w:ilvl w:val="1"/>
          <w:numId w:val="12"/>
        </w:numPr>
        <w:spacing w:line="360" w:lineRule="auto"/>
        <w:rPr>
          <w:rFonts w:ascii="Arial" w:hAnsi="Arial" w:cs="Arial"/>
          <w:b/>
          <w:szCs w:val="28"/>
        </w:rPr>
      </w:pPr>
      <w:r>
        <w:rPr>
          <w:rFonts w:ascii="Arial" w:hAnsi="Arial" w:cs="Arial"/>
          <w:szCs w:val="28"/>
        </w:rPr>
        <w:t>Some review committees will also ask for input from patients on the proposed trial design.</w:t>
      </w:r>
    </w:p>
    <w:p w:rsidR="00023DBD" w:rsidRPr="00023DBD" w:rsidRDefault="00023DBD" w:rsidP="00023DBD">
      <w:pPr>
        <w:pStyle w:val="ListParagraph"/>
        <w:numPr>
          <w:ilvl w:val="0"/>
          <w:numId w:val="12"/>
        </w:numPr>
        <w:spacing w:line="360" w:lineRule="auto"/>
        <w:rPr>
          <w:rFonts w:ascii="Arial" w:hAnsi="Arial" w:cs="Arial"/>
          <w:b/>
          <w:szCs w:val="28"/>
        </w:rPr>
      </w:pPr>
      <w:r>
        <w:rPr>
          <w:rFonts w:ascii="Arial" w:hAnsi="Arial" w:cs="Arial"/>
          <w:b/>
          <w:sz w:val="24"/>
          <w:szCs w:val="28"/>
        </w:rPr>
        <w:t>Institutional review – Ethics review</w:t>
      </w:r>
      <w:r>
        <w:rPr>
          <w:rFonts w:ascii="Arial" w:hAnsi="Arial" w:cs="Arial"/>
          <w:b/>
          <w:sz w:val="24"/>
          <w:szCs w:val="28"/>
        </w:rPr>
        <w:br/>
      </w:r>
      <w:r>
        <w:rPr>
          <w:rFonts w:ascii="Arial" w:hAnsi="Arial" w:cs="Arial"/>
          <w:sz w:val="24"/>
          <w:szCs w:val="28"/>
        </w:rPr>
        <w:t>An Institutional Review Board (IRB) or Independent Ethics Committee (IEC) is there to safeguard the rights, safety, and well-being of all patients in a clinical trial. Special attention is paid to trials that may include vulnerable participants. It also assures that there is no coercion or undue influence on the trial participants and conducts reviews of each ongoing trial at intervals appropriate to the degree of risk to human participants.</w:t>
      </w:r>
    </w:p>
    <w:p w:rsidR="006A10C9" w:rsidRPr="006A10C9" w:rsidRDefault="00023DBD" w:rsidP="006A10C9">
      <w:pPr>
        <w:pStyle w:val="ListParagraph"/>
        <w:numPr>
          <w:ilvl w:val="0"/>
          <w:numId w:val="12"/>
        </w:numPr>
        <w:spacing w:line="360" w:lineRule="auto"/>
        <w:rPr>
          <w:rStyle w:val="Hyperlink"/>
          <w:rFonts w:ascii="Arial" w:hAnsi="Arial" w:cs="Arial"/>
          <w:b/>
          <w:color w:val="auto"/>
          <w:szCs w:val="28"/>
          <w:u w:val="none"/>
        </w:rPr>
      </w:pPr>
      <w:r>
        <w:rPr>
          <w:rFonts w:ascii="Arial" w:hAnsi="Arial" w:cs="Arial"/>
          <w:b/>
          <w:sz w:val="24"/>
          <w:szCs w:val="28"/>
        </w:rPr>
        <w:t>Clinical Trial Guidelines</w:t>
      </w:r>
      <w:r>
        <w:rPr>
          <w:rFonts w:ascii="Arial" w:hAnsi="Arial" w:cs="Arial"/>
          <w:sz w:val="24"/>
          <w:szCs w:val="28"/>
        </w:rPr>
        <w:br/>
        <w:t xml:space="preserve">The Clinical Trials Directive </w:t>
      </w:r>
      <w:proofErr w:type="spellStart"/>
      <w:r>
        <w:rPr>
          <w:rFonts w:ascii="Arial" w:hAnsi="Arial" w:cs="Arial"/>
          <w:sz w:val="24"/>
          <w:szCs w:val="28"/>
        </w:rPr>
        <w:t>harmonises</w:t>
      </w:r>
      <w:proofErr w:type="spellEnd"/>
      <w:r>
        <w:rPr>
          <w:rFonts w:ascii="Arial" w:hAnsi="Arial" w:cs="Arial"/>
          <w:sz w:val="24"/>
          <w:szCs w:val="28"/>
        </w:rPr>
        <w:t xml:space="preserve"> the rules in the EU for the approval of a clinical trial conducted in a member state. As regards national competent </w:t>
      </w:r>
      <w:r>
        <w:rPr>
          <w:rFonts w:ascii="Arial" w:hAnsi="Arial" w:cs="Arial"/>
          <w:sz w:val="24"/>
          <w:szCs w:val="28"/>
        </w:rPr>
        <w:lastRenderedPageBreak/>
        <w:t xml:space="preserve">authorities, the details are set out in the </w:t>
      </w:r>
      <w:r w:rsidRPr="006A10C9">
        <w:rPr>
          <w:rFonts w:ascii="Arial" w:hAnsi="Arial" w:cs="Arial"/>
          <w:i/>
          <w:sz w:val="24"/>
          <w:szCs w:val="28"/>
        </w:rPr>
        <w:t>‘Commission Detailed guidance on the request to the competent authorities for authorization of a clinical trial on a medicinal product for human use, the notification of substantial amendments and the declaration of the end of the trial (CT-1)’</w:t>
      </w:r>
      <w:r>
        <w:rPr>
          <w:rFonts w:ascii="Arial" w:hAnsi="Arial" w:cs="Arial"/>
          <w:sz w:val="24"/>
          <w:szCs w:val="28"/>
        </w:rPr>
        <w:t xml:space="preserve">. </w:t>
      </w:r>
      <w:r w:rsidR="006A10C9">
        <w:rPr>
          <w:rFonts w:ascii="Arial" w:hAnsi="Arial" w:cs="Arial"/>
          <w:sz w:val="24"/>
          <w:szCs w:val="28"/>
        </w:rPr>
        <w:t xml:space="preserve">[Available from: </w:t>
      </w:r>
      <w:hyperlink r:id="rId7" w:history="1">
        <w:r w:rsidR="006A10C9" w:rsidRPr="006A10C9">
          <w:rPr>
            <w:rStyle w:val="Hyperlink"/>
            <w:rFonts w:ascii="Arial" w:hAnsi="Arial" w:cs="Arial"/>
          </w:rPr>
          <w:t>http://ec.europa.eu/health/files/eudralex/vol-10/2010_c82_01/2010_c82_01_en.pdf</w:t>
        </w:r>
      </w:hyperlink>
      <w:r w:rsidR="006A10C9">
        <w:rPr>
          <w:rStyle w:val="Hyperlink"/>
          <w:rFonts w:ascii="Arial" w:hAnsi="Arial" w:cs="Arial"/>
        </w:rPr>
        <w:t xml:space="preserve"> </w:t>
      </w:r>
      <w:r w:rsidR="006A10C9" w:rsidRPr="006A10C9">
        <w:rPr>
          <w:rStyle w:val="Hyperlink"/>
          <w:rFonts w:ascii="Arial" w:hAnsi="Arial" w:cs="Arial"/>
          <w:color w:val="auto"/>
          <w:u w:val="none"/>
        </w:rPr>
        <w:t>,</w:t>
      </w:r>
      <w:r w:rsidR="006A10C9">
        <w:rPr>
          <w:rStyle w:val="Hyperlink"/>
          <w:rFonts w:ascii="Arial" w:hAnsi="Arial" w:cs="Arial"/>
          <w:color w:val="auto"/>
          <w:u w:val="none"/>
        </w:rPr>
        <w:t xml:space="preserve"> 8.12.2015]</w:t>
      </w:r>
      <w:r w:rsidR="006A10C9">
        <w:rPr>
          <w:rStyle w:val="Hyperlink"/>
          <w:rFonts w:ascii="Arial" w:hAnsi="Arial" w:cs="Arial"/>
          <w:color w:val="auto"/>
          <w:u w:val="none"/>
        </w:rPr>
        <w:br/>
        <w:t>These guidelines:</w:t>
      </w:r>
    </w:p>
    <w:p w:rsidR="006A10C9" w:rsidRPr="006A10C9" w:rsidRDefault="006A10C9" w:rsidP="006A10C9">
      <w:pPr>
        <w:pStyle w:val="ListParagraph"/>
        <w:numPr>
          <w:ilvl w:val="1"/>
          <w:numId w:val="12"/>
        </w:numPr>
        <w:spacing w:line="360" w:lineRule="auto"/>
        <w:rPr>
          <w:rFonts w:ascii="Arial" w:hAnsi="Arial" w:cs="Arial"/>
          <w:b/>
          <w:color w:val="auto"/>
          <w:szCs w:val="28"/>
        </w:rPr>
      </w:pPr>
      <w:proofErr w:type="spellStart"/>
      <w:r>
        <w:rPr>
          <w:rFonts w:ascii="Arial" w:hAnsi="Arial" w:cs="Arial"/>
          <w:sz w:val="24"/>
          <w:szCs w:val="28"/>
        </w:rPr>
        <w:t>Standardise</w:t>
      </w:r>
      <w:proofErr w:type="spellEnd"/>
      <w:r>
        <w:rPr>
          <w:rFonts w:ascii="Arial" w:hAnsi="Arial" w:cs="Arial"/>
          <w:sz w:val="24"/>
          <w:szCs w:val="28"/>
        </w:rPr>
        <w:t xml:space="preserve"> designing, signing, conducting, recording, and reporting trials that involve human participants </w:t>
      </w:r>
    </w:p>
    <w:p w:rsidR="006A10C9" w:rsidRPr="006A10C9" w:rsidRDefault="006A10C9" w:rsidP="006A10C9">
      <w:pPr>
        <w:pStyle w:val="ListParagraph"/>
        <w:numPr>
          <w:ilvl w:val="1"/>
          <w:numId w:val="12"/>
        </w:numPr>
        <w:spacing w:line="360" w:lineRule="auto"/>
        <w:rPr>
          <w:rFonts w:ascii="Arial" w:hAnsi="Arial" w:cs="Arial"/>
          <w:b/>
          <w:color w:val="auto"/>
          <w:szCs w:val="28"/>
        </w:rPr>
      </w:pPr>
      <w:r>
        <w:rPr>
          <w:rFonts w:ascii="Arial" w:hAnsi="Arial" w:cs="Arial"/>
          <w:sz w:val="24"/>
          <w:szCs w:val="28"/>
        </w:rPr>
        <w:t>Provide public assurance that the rights, safety, and well-being of trial participants are protected</w:t>
      </w:r>
    </w:p>
    <w:p w:rsidR="006A10C9" w:rsidRPr="006A10C9" w:rsidRDefault="006A10C9" w:rsidP="006A10C9">
      <w:pPr>
        <w:pStyle w:val="ListParagraph"/>
        <w:numPr>
          <w:ilvl w:val="1"/>
          <w:numId w:val="12"/>
        </w:numPr>
        <w:spacing w:line="360" w:lineRule="auto"/>
        <w:rPr>
          <w:rFonts w:ascii="Arial" w:hAnsi="Arial" w:cs="Arial"/>
          <w:b/>
          <w:color w:val="auto"/>
          <w:szCs w:val="28"/>
        </w:rPr>
      </w:pPr>
      <w:r>
        <w:rPr>
          <w:rFonts w:ascii="Arial" w:hAnsi="Arial" w:cs="Arial"/>
          <w:color w:val="auto"/>
          <w:szCs w:val="28"/>
        </w:rPr>
        <w:t>Establish the guidelines for the written informed consent form – for instance, that the form needs to be written in a non-technical language and should be understandable to the patient or patient’s representative.</w:t>
      </w:r>
    </w:p>
    <w:p w:rsidR="006A10C9" w:rsidRPr="00D61E5B" w:rsidRDefault="006A10C9" w:rsidP="006A10C9">
      <w:pPr>
        <w:pStyle w:val="ListParagraph"/>
        <w:numPr>
          <w:ilvl w:val="1"/>
          <w:numId w:val="12"/>
        </w:numPr>
        <w:spacing w:line="360" w:lineRule="auto"/>
        <w:rPr>
          <w:rFonts w:ascii="Arial" w:hAnsi="Arial" w:cs="Arial"/>
          <w:b/>
          <w:color w:val="auto"/>
          <w:szCs w:val="28"/>
        </w:rPr>
      </w:pPr>
      <w:r>
        <w:rPr>
          <w:rFonts w:ascii="Arial" w:hAnsi="Arial" w:cs="Arial"/>
          <w:color w:val="auto"/>
          <w:szCs w:val="28"/>
        </w:rPr>
        <w:t xml:space="preserve">Dictate that the patient should be given ample time to inquire about the trial and to decide whether or not to participate. </w:t>
      </w:r>
    </w:p>
    <w:p w:rsidR="00D61E5B" w:rsidRPr="006A10C9" w:rsidRDefault="00D61E5B" w:rsidP="006A10C9">
      <w:pPr>
        <w:pStyle w:val="ListParagraph"/>
        <w:numPr>
          <w:ilvl w:val="1"/>
          <w:numId w:val="12"/>
        </w:numPr>
        <w:spacing w:line="360" w:lineRule="auto"/>
        <w:rPr>
          <w:rFonts w:ascii="Arial" w:hAnsi="Arial" w:cs="Arial"/>
          <w:b/>
          <w:color w:val="auto"/>
          <w:szCs w:val="28"/>
        </w:rPr>
      </w:pPr>
      <w:r>
        <w:rPr>
          <w:rFonts w:ascii="Arial" w:hAnsi="Arial" w:cs="Arial"/>
          <w:color w:val="auto"/>
          <w:szCs w:val="28"/>
        </w:rPr>
        <w:t xml:space="preserve">State that the consent form must be signed by </w:t>
      </w:r>
      <w:proofErr w:type="gramStart"/>
      <w:r>
        <w:rPr>
          <w:rFonts w:ascii="Arial" w:hAnsi="Arial" w:cs="Arial"/>
          <w:color w:val="auto"/>
          <w:szCs w:val="28"/>
        </w:rPr>
        <w:t>both the patient or</w:t>
      </w:r>
      <w:proofErr w:type="gramEnd"/>
      <w:r>
        <w:rPr>
          <w:rFonts w:ascii="Arial" w:hAnsi="Arial" w:cs="Arial"/>
          <w:color w:val="auto"/>
          <w:szCs w:val="28"/>
        </w:rPr>
        <w:t xml:space="preserve"> their legal representative and by the trial representative who discussed the trial with the patient. </w:t>
      </w:r>
    </w:p>
    <w:p w:rsidR="006B3430" w:rsidRPr="006B3430" w:rsidRDefault="006B3430" w:rsidP="00525650">
      <w:pPr>
        <w:spacing w:line="360" w:lineRule="auto"/>
        <w:rPr>
          <w:b/>
          <w:sz w:val="22"/>
        </w:rPr>
      </w:pPr>
    </w:p>
    <w:sectPr w:rsidR="006B3430" w:rsidRPr="006B3430" w:rsidSect="008F1493">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6D4" w:rsidRDefault="00E036D4" w:rsidP="00527DB1">
      <w:pPr>
        <w:spacing w:before="0"/>
      </w:pPr>
      <w:r>
        <w:separator/>
      </w:r>
    </w:p>
  </w:endnote>
  <w:endnote w:type="continuationSeparator" w:id="0">
    <w:p w:rsidR="00E036D4" w:rsidRDefault="00E036D4" w:rsidP="00527DB1">
      <w:pPr>
        <w:spacing w:before="0"/>
      </w:pPr>
      <w:r>
        <w:continuationSeparator/>
      </w:r>
    </w:p>
  </w:endnote>
  <w:endnote w:type="continuationNotice" w:id="1">
    <w:p w:rsidR="00E036D4" w:rsidRDefault="00E036D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2516"/>
      <w:docPartObj>
        <w:docPartGallery w:val="Page Numbers (Bottom of Page)"/>
        <w:docPartUnique/>
      </w:docPartObj>
    </w:sdtPr>
    <w:sdtEndPr/>
    <w:sdtContent>
      <w:p w:rsidR="00FA019B" w:rsidRDefault="00ED1139" w:rsidP="00FA019B">
        <w:pPr>
          <w:pStyle w:val="Footer"/>
          <w:jc w:val="right"/>
        </w:pPr>
        <w:r w:rsidRPr="00ED1139">
          <w:rPr>
            <w:noProof/>
            <w:lang w:eastAsia="en-GB"/>
          </w:rPr>
          <w:drawing>
            <wp:anchor distT="0" distB="0" distL="114300" distR="114300" simplePos="0" relativeHeight="251663360" behindDoc="0" locked="0" layoutInCell="1" allowOverlap="1">
              <wp:simplePos x="0" y="0"/>
              <wp:positionH relativeFrom="column">
                <wp:posOffset>-54763</wp:posOffset>
              </wp:positionH>
              <wp:positionV relativeFrom="paragraph">
                <wp:posOffset>-15519</wp:posOffset>
              </wp:positionV>
              <wp:extent cx="770992" cy="270662"/>
              <wp:effectExtent l="19050" t="0" r="0" b="0"/>
              <wp:wrapNone/>
              <wp:docPr id="6" name="Picture 1" descr="by-nc-sa.png"/>
              <wp:cNvGraphicFramePr/>
              <a:graphic xmlns:a="http://schemas.openxmlformats.org/drawingml/2006/main">
                <a:graphicData uri="http://schemas.openxmlformats.org/drawingml/2006/picture">
                  <pic:pic xmlns:pic="http://schemas.openxmlformats.org/drawingml/2006/picture">
                    <pic:nvPicPr>
                      <pic:cNvPr id="9" name="Picture 8" descr="by-nc-sa.png"/>
                      <pic:cNvPicPr>
                        <a:picLocks noChangeAspect="1"/>
                      </pic:cNvPicPr>
                    </pic:nvPicPr>
                    <pic:blipFill>
                      <a:blip r:embed="rId1" cstate="print"/>
                      <a:stretch>
                        <a:fillRect/>
                      </a:stretch>
                    </pic:blipFill>
                    <pic:spPr>
                      <a:xfrm>
                        <a:off x="0" y="0"/>
                        <a:ext cx="770992" cy="270662"/>
                      </a:xfrm>
                      <a:prstGeom prst="rect">
                        <a:avLst/>
                      </a:prstGeom>
                    </pic:spPr>
                  </pic:pic>
                </a:graphicData>
              </a:graphic>
            </wp:anchor>
          </w:drawing>
        </w:r>
        <w:r w:rsidR="00BD5560">
          <w:fldChar w:fldCharType="begin"/>
        </w:r>
        <w:r w:rsidR="00BD5560">
          <w:instrText xml:space="preserve"> PAGE   \* MERGEFORMAT </w:instrText>
        </w:r>
        <w:r w:rsidR="00BD5560">
          <w:fldChar w:fldCharType="separate"/>
        </w:r>
        <w:r w:rsidR="00D61E5B">
          <w:rPr>
            <w:noProof/>
          </w:rPr>
          <w:t>2</w:t>
        </w:r>
        <w:r w:rsidR="00BD5560">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6D4" w:rsidRDefault="00E036D4" w:rsidP="00527DB1">
      <w:pPr>
        <w:spacing w:before="0"/>
      </w:pPr>
      <w:r>
        <w:separator/>
      </w:r>
    </w:p>
  </w:footnote>
  <w:footnote w:type="continuationSeparator" w:id="0">
    <w:p w:rsidR="00E036D4" w:rsidRDefault="00E036D4" w:rsidP="00527DB1">
      <w:pPr>
        <w:spacing w:before="0"/>
      </w:pPr>
      <w:r>
        <w:continuationSeparator/>
      </w:r>
    </w:p>
  </w:footnote>
  <w:footnote w:type="continuationNotice" w:id="1">
    <w:p w:rsidR="00E036D4" w:rsidRDefault="00E036D4">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135" w:rsidRDefault="002E7650" w:rsidP="00FA019B">
    <w:pPr>
      <w:pStyle w:val="Header"/>
      <w:tabs>
        <w:tab w:val="clear" w:pos="9072"/>
        <w:tab w:val="left" w:pos="1279"/>
        <w:tab w:val="right" w:pos="9070"/>
      </w:tabs>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1206500</wp:posOffset>
              </wp:positionH>
              <wp:positionV relativeFrom="paragraph">
                <wp:posOffset>441325</wp:posOffset>
              </wp:positionV>
              <wp:extent cx="1388745" cy="241935"/>
              <wp:effectExtent l="0" t="3175" r="0"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139" w:rsidRPr="00047E36" w:rsidRDefault="00ED1139" w:rsidP="00ED1139">
                          <w:pPr>
                            <w:pStyle w:val="Footer"/>
                          </w:pPr>
                          <w:r w:rsidRPr="00047E36">
                            <w:t>http://www.eupati.eu</w:t>
                          </w:r>
                        </w:p>
                        <w:p w:rsidR="00ED1139" w:rsidRDefault="00ED11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5pt;margin-top:34.75pt;width:109.35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qT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" filled="f" stroked="f">
              <v:textbox>
                <w:txbxContent>
                  <w:p w:rsidR="00ED1139" w:rsidRPr="00047E36" w:rsidRDefault="00ED1139" w:rsidP="00ED1139">
                    <w:pPr>
                      <w:pStyle w:val="Footer"/>
                    </w:pPr>
                    <w:r w:rsidRPr="00047E36">
                      <w:t>http://www.eupati.eu</w:t>
                    </w:r>
                  </w:p>
                  <w:p w:rsidR="00ED1139" w:rsidRDefault="00ED1139"/>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1198880</wp:posOffset>
              </wp:positionH>
              <wp:positionV relativeFrom="paragraph">
                <wp:posOffset>20955</wp:posOffset>
              </wp:positionV>
              <wp:extent cx="2339340" cy="467995"/>
              <wp:effectExtent l="0"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19B" w:rsidRPr="00ED1139" w:rsidRDefault="00FA019B" w:rsidP="00ED1139">
                          <w:pPr>
                            <w:rPr>
                              <w:color w:val="551A8B"/>
                              <w:sz w:val="24"/>
                              <w:szCs w:val="12"/>
                              <w:lang w:val="en-IE"/>
                            </w:rPr>
                          </w:pPr>
                          <w:r w:rsidRPr="00047E36">
                            <w:rPr>
                              <w:sz w:val="24"/>
                              <w:szCs w:val="12"/>
                              <w:lang w:val="en-IE"/>
                            </w:rPr>
                            <w:t>European</w:t>
                          </w:r>
                          <w:r w:rsidRPr="00ED1139">
                            <w:rPr>
                              <w:color w:val="551A8B"/>
                              <w:sz w:val="24"/>
                              <w:szCs w:val="12"/>
                              <w:lang w:val="en-IE"/>
                            </w:rPr>
                            <w:t xml:space="preserve"> </w:t>
                          </w:r>
                          <w:r w:rsidRPr="00ED1139">
                            <w:rPr>
                              <w:color w:val="022F68"/>
                              <w:sz w:val="24"/>
                              <w:szCs w:val="12"/>
                              <w:lang w:val="en-IE"/>
                            </w:rPr>
                            <w:t>Patients’ Academy</w:t>
                          </w:r>
                          <w:r w:rsidR="00ED1139" w:rsidRPr="00ED1139">
                            <w:rPr>
                              <w:color w:val="551A8B"/>
                              <w:sz w:val="24"/>
                              <w:szCs w:val="12"/>
                              <w:lang w:val="en-IE"/>
                            </w:rPr>
                            <w:t xml:space="preserve"> </w:t>
                          </w:r>
                          <w:r w:rsidRPr="00047E36">
                            <w:rPr>
                              <w:sz w:val="24"/>
                              <w:szCs w:val="12"/>
                              <w:lang w:val="en-IE"/>
                            </w:rPr>
                            <w:t>on Therapeutic Innovation</w:t>
                          </w:r>
                        </w:p>
                        <w:p w:rsidR="00FA019B" w:rsidRPr="00ED1139" w:rsidRDefault="00FA019B" w:rsidP="00ED1139">
                          <w:pPr>
                            <w:rPr>
                              <w:sz w:val="24"/>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4.4pt;margin-top:1.65pt;width:184.2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75tg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" filled="f" stroked="f">
              <v:textbox>
                <w:txbxContent>
                  <w:p w:rsidR="00FA019B" w:rsidRPr="00ED1139" w:rsidRDefault="00FA019B" w:rsidP="00ED1139">
                    <w:pPr>
                      <w:rPr>
                        <w:color w:val="551A8B"/>
                        <w:sz w:val="24"/>
                        <w:szCs w:val="12"/>
                        <w:lang w:val="en-IE"/>
                      </w:rPr>
                    </w:pPr>
                    <w:r w:rsidRPr="00047E36">
                      <w:rPr>
                        <w:sz w:val="24"/>
                        <w:szCs w:val="12"/>
                        <w:lang w:val="en-IE"/>
                      </w:rPr>
                      <w:t>European</w:t>
                    </w:r>
                    <w:r w:rsidRPr="00ED1139">
                      <w:rPr>
                        <w:color w:val="551A8B"/>
                        <w:sz w:val="24"/>
                        <w:szCs w:val="12"/>
                        <w:lang w:val="en-IE"/>
                      </w:rPr>
                      <w:t xml:space="preserve"> </w:t>
                    </w:r>
                    <w:r w:rsidRPr="00ED1139">
                      <w:rPr>
                        <w:color w:val="022F68"/>
                        <w:sz w:val="24"/>
                        <w:szCs w:val="12"/>
                        <w:lang w:val="en-IE"/>
                      </w:rPr>
                      <w:t>Patients’ Academy</w:t>
                    </w:r>
                    <w:r w:rsidR="00ED1139" w:rsidRPr="00ED1139">
                      <w:rPr>
                        <w:color w:val="551A8B"/>
                        <w:sz w:val="24"/>
                        <w:szCs w:val="12"/>
                        <w:lang w:val="en-IE"/>
                      </w:rPr>
                      <w:t xml:space="preserve"> </w:t>
                    </w:r>
                    <w:r w:rsidRPr="00047E36">
                      <w:rPr>
                        <w:sz w:val="24"/>
                        <w:szCs w:val="12"/>
                        <w:lang w:val="en-IE"/>
                      </w:rPr>
                      <w:t>on Therapeutic Innovation</w:t>
                    </w:r>
                  </w:p>
                  <w:p w:rsidR="00FA019B" w:rsidRPr="00ED1139" w:rsidRDefault="00FA019B" w:rsidP="00ED1139">
                    <w:pPr>
                      <w:rPr>
                        <w:sz w:val="24"/>
                        <w:szCs w:val="12"/>
                      </w:rPr>
                    </w:pPr>
                  </w:p>
                </w:txbxContent>
              </v:textbox>
            </v:shape>
          </w:pict>
        </mc:Fallback>
      </mc:AlternateContent>
    </w:r>
    <w:r w:rsidR="00ED1139" w:rsidRPr="00ED1139">
      <w:rPr>
        <w:noProof/>
        <w:lang w:eastAsia="en-GB"/>
      </w:rPr>
      <w:drawing>
        <wp:inline distT="0" distB="0" distL="0" distR="0">
          <wp:extent cx="1057238" cy="589658"/>
          <wp:effectExtent l="19050" t="0" r="0" b="0"/>
          <wp:docPr id="7" name="Bild 1" descr="Beschreibung: EUPATI-Logo-web-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EUPATI-Logo-web-update"/>
                  <pic:cNvPicPr>
                    <a:picLocks noChangeAspect="1" noChangeArrowheads="1"/>
                  </pic:cNvPicPr>
                </pic:nvPicPr>
                <pic:blipFill>
                  <a:blip r:embed="rId1"/>
                  <a:srcRect b="20216"/>
                  <a:stretch>
                    <a:fillRect/>
                  </a:stretch>
                </pic:blipFill>
                <pic:spPr bwMode="auto">
                  <a:xfrm>
                    <a:off x="0" y="0"/>
                    <a:ext cx="1055200" cy="588521"/>
                  </a:xfrm>
                  <a:prstGeom prst="rect">
                    <a:avLst/>
                  </a:prstGeom>
                  <a:noFill/>
                  <a:ln w="9525">
                    <a:noFill/>
                    <a:miter lim="800000"/>
                    <a:headEnd/>
                    <a:tailEnd/>
                  </a:ln>
                </pic:spPr>
              </pic:pic>
            </a:graphicData>
          </a:graphic>
        </wp:inline>
      </w:drawing>
    </w:r>
    <w:r w:rsidR="00FA019B">
      <w:tab/>
    </w:r>
    <w:r w:rsidR="00FA019B">
      <w:tab/>
    </w:r>
    <w:r w:rsidR="00FA019B">
      <w:tab/>
    </w:r>
  </w:p>
  <w:p w:rsidR="001C1135" w:rsidRDefault="001C1135">
    <w:pPr>
      <w:pStyle w:val="Header"/>
    </w:pPr>
  </w:p>
  <w:p w:rsidR="00047E36" w:rsidRDefault="00047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3E8E"/>
    <w:multiLevelType w:val="hybridMultilevel"/>
    <w:tmpl w:val="3CC22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AF20A4"/>
    <w:multiLevelType w:val="hybridMultilevel"/>
    <w:tmpl w:val="F98E5E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9C5EA9"/>
    <w:multiLevelType w:val="hybridMultilevel"/>
    <w:tmpl w:val="788A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82A94"/>
    <w:multiLevelType w:val="multilevel"/>
    <w:tmpl w:val="3F32B6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133D6D"/>
    <w:multiLevelType w:val="hybridMultilevel"/>
    <w:tmpl w:val="9BD821C6"/>
    <w:lvl w:ilvl="0" w:tplc="2A38F960">
      <w:start w:val="200"/>
      <w:numFmt w:val="bullet"/>
      <w:lvlText w:val=""/>
      <w:lvlJc w:val="left"/>
      <w:pPr>
        <w:ind w:left="1060" w:hanging="70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FDE03FC"/>
    <w:multiLevelType w:val="hybridMultilevel"/>
    <w:tmpl w:val="0D328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2C1CFD"/>
    <w:multiLevelType w:val="hybridMultilevel"/>
    <w:tmpl w:val="A30A6A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4F750DCD"/>
    <w:multiLevelType w:val="hybridMultilevel"/>
    <w:tmpl w:val="3960A4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05873D9"/>
    <w:multiLevelType w:val="hybridMultilevel"/>
    <w:tmpl w:val="5AA0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29509C"/>
    <w:multiLevelType w:val="hybridMultilevel"/>
    <w:tmpl w:val="5C8C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A0186F"/>
    <w:multiLevelType w:val="hybridMultilevel"/>
    <w:tmpl w:val="1FF424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61553E4"/>
    <w:multiLevelType w:val="hybridMultilevel"/>
    <w:tmpl w:val="6F64B7E8"/>
    <w:lvl w:ilvl="0" w:tplc="3E0477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2"/>
  </w:num>
  <w:num w:numId="5">
    <w:abstractNumId w:val="4"/>
  </w:num>
  <w:num w:numId="6">
    <w:abstractNumId w:val="11"/>
  </w:num>
  <w:num w:numId="7">
    <w:abstractNumId w:val="7"/>
  </w:num>
  <w:num w:numId="8">
    <w:abstractNumId w:val="8"/>
  </w:num>
  <w:num w:numId="9">
    <w:abstractNumId w:val="9"/>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01"/>
    <w:rsid w:val="00000666"/>
    <w:rsid w:val="00023DBD"/>
    <w:rsid w:val="00037816"/>
    <w:rsid w:val="0004195D"/>
    <w:rsid w:val="00047DAD"/>
    <w:rsid w:val="00047E36"/>
    <w:rsid w:val="0005038B"/>
    <w:rsid w:val="000559B8"/>
    <w:rsid w:val="00063556"/>
    <w:rsid w:val="00074E0E"/>
    <w:rsid w:val="00077E83"/>
    <w:rsid w:val="00082812"/>
    <w:rsid w:val="000A2B24"/>
    <w:rsid w:val="000E6FBC"/>
    <w:rsid w:val="000E7D37"/>
    <w:rsid w:val="000F3493"/>
    <w:rsid w:val="000F4ADA"/>
    <w:rsid w:val="001115FA"/>
    <w:rsid w:val="00112F4E"/>
    <w:rsid w:val="001176C6"/>
    <w:rsid w:val="00126514"/>
    <w:rsid w:val="00153753"/>
    <w:rsid w:val="001701AA"/>
    <w:rsid w:val="001928D4"/>
    <w:rsid w:val="001A06C5"/>
    <w:rsid w:val="001A6637"/>
    <w:rsid w:val="001C1135"/>
    <w:rsid w:val="001C11DC"/>
    <w:rsid w:val="001C1EC1"/>
    <w:rsid w:val="001D02FD"/>
    <w:rsid w:val="001E65BE"/>
    <w:rsid w:val="002042C5"/>
    <w:rsid w:val="002114E4"/>
    <w:rsid w:val="00222A6E"/>
    <w:rsid w:val="00274B8F"/>
    <w:rsid w:val="00280975"/>
    <w:rsid w:val="0029337E"/>
    <w:rsid w:val="002B4E86"/>
    <w:rsid w:val="002D4053"/>
    <w:rsid w:val="002E3270"/>
    <w:rsid w:val="002E7650"/>
    <w:rsid w:val="002F27F8"/>
    <w:rsid w:val="0033333B"/>
    <w:rsid w:val="003430FB"/>
    <w:rsid w:val="003440FF"/>
    <w:rsid w:val="00396DFD"/>
    <w:rsid w:val="003B2377"/>
    <w:rsid w:val="003C681E"/>
    <w:rsid w:val="003D3703"/>
    <w:rsid w:val="003D79A3"/>
    <w:rsid w:val="003F50D6"/>
    <w:rsid w:val="00410919"/>
    <w:rsid w:val="00410AC8"/>
    <w:rsid w:val="00411B09"/>
    <w:rsid w:val="00433D27"/>
    <w:rsid w:val="00455493"/>
    <w:rsid w:val="004B0D48"/>
    <w:rsid w:val="004B0F48"/>
    <w:rsid w:val="004C02B4"/>
    <w:rsid w:val="004F7058"/>
    <w:rsid w:val="00502880"/>
    <w:rsid w:val="00506943"/>
    <w:rsid w:val="00522128"/>
    <w:rsid w:val="00525650"/>
    <w:rsid w:val="00527DB1"/>
    <w:rsid w:val="00533052"/>
    <w:rsid w:val="0054367C"/>
    <w:rsid w:val="00556B6D"/>
    <w:rsid w:val="005608E5"/>
    <w:rsid w:val="00560E60"/>
    <w:rsid w:val="0057410A"/>
    <w:rsid w:val="00575AB1"/>
    <w:rsid w:val="00593FE8"/>
    <w:rsid w:val="005A7863"/>
    <w:rsid w:val="005B1018"/>
    <w:rsid w:val="005B1FFD"/>
    <w:rsid w:val="005B2D2D"/>
    <w:rsid w:val="005C29CD"/>
    <w:rsid w:val="005D3C98"/>
    <w:rsid w:val="005D7C96"/>
    <w:rsid w:val="00602F85"/>
    <w:rsid w:val="00616199"/>
    <w:rsid w:val="00621E44"/>
    <w:rsid w:val="00653E43"/>
    <w:rsid w:val="006706A4"/>
    <w:rsid w:val="00684D01"/>
    <w:rsid w:val="0069371A"/>
    <w:rsid w:val="00694B23"/>
    <w:rsid w:val="00696A72"/>
    <w:rsid w:val="006A10C9"/>
    <w:rsid w:val="006B3430"/>
    <w:rsid w:val="006E6477"/>
    <w:rsid w:val="006F4AD1"/>
    <w:rsid w:val="00701A73"/>
    <w:rsid w:val="00737119"/>
    <w:rsid w:val="007621A4"/>
    <w:rsid w:val="007705E8"/>
    <w:rsid w:val="00782A28"/>
    <w:rsid w:val="007866C9"/>
    <w:rsid w:val="0079540F"/>
    <w:rsid w:val="007979F2"/>
    <w:rsid w:val="007A0501"/>
    <w:rsid w:val="007B0543"/>
    <w:rsid w:val="007B39DB"/>
    <w:rsid w:val="007D24E4"/>
    <w:rsid w:val="007D5D30"/>
    <w:rsid w:val="007F5390"/>
    <w:rsid w:val="00810B4D"/>
    <w:rsid w:val="00830662"/>
    <w:rsid w:val="00842CF6"/>
    <w:rsid w:val="008853D7"/>
    <w:rsid w:val="008D1D06"/>
    <w:rsid w:val="008E036F"/>
    <w:rsid w:val="008E0A12"/>
    <w:rsid w:val="008E4C8E"/>
    <w:rsid w:val="008F0BC0"/>
    <w:rsid w:val="008F1493"/>
    <w:rsid w:val="00921DE1"/>
    <w:rsid w:val="00923AEC"/>
    <w:rsid w:val="00927316"/>
    <w:rsid w:val="009523E0"/>
    <w:rsid w:val="00957D2B"/>
    <w:rsid w:val="00962F21"/>
    <w:rsid w:val="009701A0"/>
    <w:rsid w:val="009731EF"/>
    <w:rsid w:val="0097365C"/>
    <w:rsid w:val="00986800"/>
    <w:rsid w:val="00992BE5"/>
    <w:rsid w:val="009A08B3"/>
    <w:rsid w:val="009B1789"/>
    <w:rsid w:val="009B1C86"/>
    <w:rsid w:val="009B23D0"/>
    <w:rsid w:val="009B766E"/>
    <w:rsid w:val="009E144B"/>
    <w:rsid w:val="00A03A51"/>
    <w:rsid w:val="00A43C6E"/>
    <w:rsid w:val="00A50E00"/>
    <w:rsid w:val="00A5288F"/>
    <w:rsid w:val="00A95B70"/>
    <w:rsid w:val="00AA25FD"/>
    <w:rsid w:val="00AA6ACC"/>
    <w:rsid w:val="00AA6BFA"/>
    <w:rsid w:val="00AE517C"/>
    <w:rsid w:val="00AF1AD7"/>
    <w:rsid w:val="00B22CC3"/>
    <w:rsid w:val="00B26228"/>
    <w:rsid w:val="00B27E46"/>
    <w:rsid w:val="00B631C2"/>
    <w:rsid w:val="00B72BDB"/>
    <w:rsid w:val="00B77E41"/>
    <w:rsid w:val="00BA5D8F"/>
    <w:rsid w:val="00BC194A"/>
    <w:rsid w:val="00BC767C"/>
    <w:rsid w:val="00BD5560"/>
    <w:rsid w:val="00BE0FEC"/>
    <w:rsid w:val="00BE669A"/>
    <w:rsid w:val="00C130C1"/>
    <w:rsid w:val="00C2703B"/>
    <w:rsid w:val="00C46A74"/>
    <w:rsid w:val="00C51DA5"/>
    <w:rsid w:val="00C53246"/>
    <w:rsid w:val="00C84033"/>
    <w:rsid w:val="00CA2000"/>
    <w:rsid w:val="00CB506C"/>
    <w:rsid w:val="00CD508F"/>
    <w:rsid w:val="00CF53A1"/>
    <w:rsid w:val="00CF7C2C"/>
    <w:rsid w:val="00D0732B"/>
    <w:rsid w:val="00D176BB"/>
    <w:rsid w:val="00D22E6F"/>
    <w:rsid w:val="00D310EA"/>
    <w:rsid w:val="00D4122C"/>
    <w:rsid w:val="00D418B8"/>
    <w:rsid w:val="00D4452A"/>
    <w:rsid w:val="00D5131A"/>
    <w:rsid w:val="00D55908"/>
    <w:rsid w:val="00D61E5B"/>
    <w:rsid w:val="00D9392E"/>
    <w:rsid w:val="00DA22AF"/>
    <w:rsid w:val="00DC0EEA"/>
    <w:rsid w:val="00DC437D"/>
    <w:rsid w:val="00DD3E88"/>
    <w:rsid w:val="00DE69E3"/>
    <w:rsid w:val="00DE7632"/>
    <w:rsid w:val="00DF4245"/>
    <w:rsid w:val="00DF51A0"/>
    <w:rsid w:val="00E0121C"/>
    <w:rsid w:val="00E036D4"/>
    <w:rsid w:val="00E04C9C"/>
    <w:rsid w:val="00E22ACC"/>
    <w:rsid w:val="00E80369"/>
    <w:rsid w:val="00E870D3"/>
    <w:rsid w:val="00E954DA"/>
    <w:rsid w:val="00EB77CD"/>
    <w:rsid w:val="00ED1139"/>
    <w:rsid w:val="00ED3F76"/>
    <w:rsid w:val="00EE055A"/>
    <w:rsid w:val="00EE7852"/>
    <w:rsid w:val="00F00D01"/>
    <w:rsid w:val="00F00F69"/>
    <w:rsid w:val="00F23984"/>
    <w:rsid w:val="00F25EFB"/>
    <w:rsid w:val="00F3417E"/>
    <w:rsid w:val="00F50F90"/>
    <w:rsid w:val="00F54E0A"/>
    <w:rsid w:val="00F55095"/>
    <w:rsid w:val="00F668CB"/>
    <w:rsid w:val="00F803C0"/>
    <w:rsid w:val="00FA019B"/>
    <w:rsid w:val="00FA3AB3"/>
    <w:rsid w:val="00FB4996"/>
    <w:rsid w:val="00FC4F54"/>
    <w:rsid w:val="00FC6BEE"/>
    <w:rsid w:val="00FD453B"/>
    <w:rsid w:val="00FD5452"/>
    <w:rsid w:val="00FE1D95"/>
    <w:rsid w:val="00FE3F4E"/>
    <w:rsid w:val="00FF1F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7FE5F0F-9C1B-45BC-9FC3-F74E1C54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F46"/>
    <w:pPr>
      <w:contextualSpacing/>
    </w:pPr>
    <w:rPr>
      <w:rFonts w:ascii="Arial" w:hAnsi="Arial"/>
      <w:sz w:val="20"/>
    </w:rPr>
  </w:style>
  <w:style w:type="paragraph" w:styleId="Heading1">
    <w:name w:val="heading 1"/>
    <w:basedOn w:val="Normal"/>
    <w:next w:val="Normal"/>
    <w:link w:val="Heading1Char"/>
    <w:uiPriority w:val="9"/>
    <w:qFormat/>
    <w:rsid w:val="00ED11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Grid-Accent11">
    <w:name w:val="Light Grid - Accent 11"/>
    <w:basedOn w:val="TableNormal"/>
    <w:uiPriority w:val="62"/>
    <w:rsid w:val="00C130C1"/>
    <w:pPr>
      <w:spacing w:before="0"/>
    </w:pPr>
    <w:rPr>
      <w:lang w:val="en-I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C130C1"/>
    <w:rPr>
      <w:color w:val="0000FF" w:themeColor="hyperlink"/>
      <w:u w:val="single"/>
    </w:rPr>
  </w:style>
  <w:style w:type="paragraph" w:styleId="ListParagraph">
    <w:name w:val="List Paragraph"/>
    <w:basedOn w:val="Normal"/>
    <w:uiPriority w:val="34"/>
    <w:qFormat/>
    <w:rsid w:val="00C130C1"/>
    <w:pPr>
      <w:spacing w:before="0" w:after="160" w:line="276" w:lineRule="auto"/>
      <w:ind w:left="720"/>
    </w:pPr>
    <w:rPr>
      <w:rFonts w:ascii="Calibri" w:eastAsia="Calibri" w:hAnsi="Calibri" w:cs="Times New Roman"/>
      <w:color w:val="000000"/>
      <w:sz w:val="22"/>
      <w:szCs w:val="20"/>
      <w:lang w:val="en-US"/>
    </w:rPr>
  </w:style>
  <w:style w:type="paragraph" w:styleId="NormalWeb">
    <w:name w:val="Normal (Web)"/>
    <w:basedOn w:val="Normal"/>
    <w:uiPriority w:val="99"/>
    <w:unhideWhenUsed/>
    <w:rsid w:val="00C130C1"/>
    <w:pPr>
      <w:spacing w:before="100" w:beforeAutospacing="1" w:after="100" w:afterAutospacing="1"/>
      <w:contextualSpacing w:val="0"/>
    </w:pPr>
    <w:rPr>
      <w:rFonts w:ascii="Times New Roman" w:eastAsia="Times New Roman" w:hAnsi="Times New Roman" w:cs="Times New Roman"/>
      <w:sz w:val="24"/>
      <w:szCs w:val="24"/>
      <w:lang w:val="en-IE" w:eastAsia="en-IE"/>
    </w:rPr>
  </w:style>
  <w:style w:type="paragraph" w:styleId="CommentText">
    <w:name w:val="annotation text"/>
    <w:basedOn w:val="Normal"/>
    <w:link w:val="CommentTextChar"/>
    <w:uiPriority w:val="99"/>
    <w:unhideWhenUsed/>
    <w:rsid w:val="00C130C1"/>
    <w:pPr>
      <w:spacing w:before="0" w:after="200"/>
      <w:contextualSpacing w:val="0"/>
    </w:pPr>
    <w:rPr>
      <w:rFonts w:cs="Arial"/>
      <w:i/>
      <w:color w:val="002060"/>
      <w:szCs w:val="20"/>
      <w:u w:val="single"/>
      <w:lang w:val="en-IE"/>
    </w:rPr>
  </w:style>
  <w:style w:type="character" w:customStyle="1" w:styleId="CommentTextChar">
    <w:name w:val="Comment Text Char"/>
    <w:basedOn w:val="DefaultParagraphFont"/>
    <w:link w:val="CommentText"/>
    <w:uiPriority w:val="99"/>
    <w:rsid w:val="00C130C1"/>
    <w:rPr>
      <w:rFonts w:ascii="Arial" w:hAnsi="Arial" w:cs="Arial"/>
      <w:i/>
      <w:color w:val="002060"/>
      <w:sz w:val="20"/>
      <w:szCs w:val="20"/>
      <w:u w:val="single"/>
      <w:lang w:val="en-IE"/>
    </w:rPr>
  </w:style>
  <w:style w:type="table" w:styleId="TableGrid">
    <w:name w:val="Table Grid"/>
    <w:basedOn w:val="TableNormal"/>
    <w:uiPriority w:val="59"/>
    <w:rsid w:val="00DF51A0"/>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367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67C"/>
    <w:rPr>
      <w:rFonts w:ascii="Tahoma" w:hAnsi="Tahoma" w:cs="Tahoma"/>
      <w:sz w:val="16"/>
      <w:szCs w:val="16"/>
    </w:rPr>
  </w:style>
  <w:style w:type="character" w:styleId="PlaceholderText">
    <w:name w:val="Placeholder Text"/>
    <w:basedOn w:val="DefaultParagraphFont"/>
    <w:uiPriority w:val="99"/>
    <w:semiHidden/>
    <w:rsid w:val="001176C6"/>
    <w:rPr>
      <w:color w:val="808080"/>
    </w:rPr>
  </w:style>
  <w:style w:type="paragraph" w:styleId="Header">
    <w:name w:val="header"/>
    <w:basedOn w:val="Normal"/>
    <w:link w:val="HeaderChar"/>
    <w:semiHidden/>
    <w:unhideWhenUsed/>
    <w:rsid w:val="00527DB1"/>
    <w:pPr>
      <w:tabs>
        <w:tab w:val="center" w:pos="4536"/>
        <w:tab w:val="right" w:pos="9072"/>
      </w:tabs>
      <w:spacing w:before="0"/>
    </w:pPr>
  </w:style>
  <w:style w:type="character" w:customStyle="1" w:styleId="HeaderChar">
    <w:name w:val="Header Char"/>
    <w:basedOn w:val="DefaultParagraphFont"/>
    <w:link w:val="Header"/>
    <w:uiPriority w:val="99"/>
    <w:semiHidden/>
    <w:rsid w:val="00527DB1"/>
    <w:rPr>
      <w:rFonts w:ascii="Arial" w:hAnsi="Arial"/>
      <w:sz w:val="20"/>
    </w:rPr>
  </w:style>
  <w:style w:type="paragraph" w:styleId="Footer">
    <w:name w:val="footer"/>
    <w:basedOn w:val="Normal"/>
    <w:link w:val="FooterChar"/>
    <w:uiPriority w:val="99"/>
    <w:unhideWhenUsed/>
    <w:rsid w:val="00527DB1"/>
    <w:pPr>
      <w:tabs>
        <w:tab w:val="center" w:pos="4536"/>
        <w:tab w:val="right" w:pos="9072"/>
      </w:tabs>
      <w:spacing w:before="0"/>
    </w:pPr>
  </w:style>
  <w:style w:type="character" w:customStyle="1" w:styleId="FooterChar">
    <w:name w:val="Footer Char"/>
    <w:basedOn w:val="DefaultParagraphFont"/>
    <w:link w:val="Footer"/>
    <w:uiPriority w:val="99"/>
    <w:rsid w:val="00527DB1"/>
    <w:rPr>
      <w:rFonts w:ascii="Arial" w:hAnsi="Arial"/>
      <w:sz w:val="20"/>
    </w:rPr>
  </w:style>
  <w:style w:type="character" w:styleId="CommentReference">
    <w:name w:val="annotation reference"/>
    <w:basedOn w:val="DefaultParagraphFont"/>
    <w:uiPriority w:val="99"/>
    <w:semiHidden/>
    <w:unhideWhenUsed/>
    <w:rsid w:val="009523E0"/>
    <w:rPr>
      <w:sz w:val="18"/>
      <w:szCs w:val="18"/>
    </w:rPr>
  </w:style>
  <w:style w:type="paragraph" w:styleId="CommentSubject">
    <w:name w:val="annotation subject"/>
    <w:basedOn w:val="CommentText"/>
    <w:next w:val="CommentText"/>
    <w:link w:val="CommentSubjectChar"/>
    <w:uiPriority w:val="99"/>
    <w:semiHidden/>
    <w:unhideWhenUsed/>
    <w:rsid w:val="008853D7"/>
    <w:pPr>
      <w:spacing w:before="60" w:after="0"/>
      <w:contextualSpacing/>
    </w:pPr>
    <w:rPr>
      <w:rFonts w:cstheme="minorBidi"/>
      <w:b/>
      <w:bCs/>
      <w:i w:val="0"/>
      <w:color w:val="auto"/>
      <w:u w:val="none"/>
      <w:lang w:val="en-GB"/>
    </w:rPr>
  </w:style>
  <w:style w:type="character" w:customStyle="1" w:styleId="CommentSubjectChar">
    <w:name w:val="Comment Subject Char"/>
    <w:basedOn w:val="CommentTextChar"/>
    <w:link w:val="CommentSubject"/>
    <w:uiPriority w:val="99"/>
    <w:semiHidden/>
    <w:rsid w:val="008853D7"/>
    <w:rPr>
      <w:rFonts w:ascii="Arial" w:hAnsi="Arial" w:cs="Arial"/>
      <w:b/>
      <w:bCs/>
      <w:i/>
      <w:color w:val="002060"/>
      <w:sz w:val="20"/>
      <w:szCs w:val="20"/>
      <w:u w:val="single"/>
      <w:lang w:val="en-IE"/>
    </w:rPr>
  </w:style>
  <w:style w:type="paragraph" w:styleId="Revision">
    <w:name w:val="Revision"/>
    <w:hidden/>
    <w:uiPriority w:val="99"/>
    <w:semiHidden/>
    <w:rsid w:val="00410919"/>
    <w:pPr>
      <w:spacing w:before="0"/>
    </w:pPr>
    <w:rPr>
      <w:rFonts w:ascii="Arial" w:hAnsi="Arial"/>
      <w:sz w:val="20"/>
    </w:rPr>
  </w:style>
  <w:style w:type="character" w:customStyle="1" w:styleId="Heading1Char">
    <w:name w:val="Heading 1 Char"/>
    <w:basedOn w:val="DefaultParagraphFont"/>
    <w:link w:val="Heading1"/>
    <w:uiPriority w:val="9"/>
    <w:rsid w:val="00ED113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86857">
      <w:bodyDiv w:val="1"/>
      <w:marLeft w:val="0"/>
      <w:marRight w:val="0"/>
      <w:marTop w:val="0"/>
      <w:marBottom w:val="0"/>
      <w:divBdr>
        <w:top w:val="none" w:sz="0" w:space="0" w:color="auto"/>
        <w:left w:val="none" w:sz="0" w:space="0" w:color="auto"/>
        <w:bottom w:val="none" w:sz="0" w:space="0" w:color="auto"/>
        <w:right w:val="none" w:sz="0" w:space="0" w:color="auto"/>
      </w:divBdr>
    </w:div>
    <w:div w:id="148719762">
      <w:bodyDiv w:val="1"/>
      <w:marLeft w:val="0"/>
      <w:marRight w:val="0"/>
      <w:marTop w:val="0"/>
      <w:marBottom w:val="0"/>
      <w:divBdr>
        <w:top w:val="none" w:sz="0" w:space="0" w:color="auto"/>
        <w:left w:val="none" w:sz="0" w:space="0" w:color="auto"/>
        <w:bottom w:val="none" w:sz="0" w:space="0" w:color="auto"/>
        <w:right w:val="none" w:sz="0" w:space="0" w:color="auto"/>
      </w:divBdr>
    </w:div>
    <w:div w:id="1036126755">
      <w:bodyDiv w:val="1"/>
      <w:marLeft w:val="0"/>
      <w:marRight w:val="0"/>
      <w:marTop w:val="0"/>
      <w:marBottom w:val="0"/>
      <w:divBdr>
        <w:top w:val="none" w:sz="0" w:space="0" w:color="auto"/>
        <w:left w:val="none" w:sz="0" w:space="0" w:color="auto"/>
        <w:bottom w:val="none" w:sz="0" w:space="0" w:color="auto"/>
        <w:right w:val="none" w:sz="0" w:space="0" w:color="auto"/>
      </w:divBdr>
    </w:div>
    <w:div w:id="168532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health/files/eudralex/vol-10/2010_c82_01/2010_c82_01_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erz\Documents\Toolbox-Fact-Shee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Toolbox-Fact-Sheet-template.dotx</Template>
  <TotalTime>25</TotalTime>
  <Pages>2</Pages>
  <Words>513</Words>
  <Characters>2929</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DIA</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Scherz</dc:creator>
  <cp:lastModifiedBy>Heidi Scherz</cp:lastModifiedBy>
  <cp:revision>4</cp:revision>
  <cp:lastPrinted>2014-10-24T13:00:00Z</cp:lastPrinted>
  <dcterms:created xsi:type="dcterms:W3CDTF">2015-08-12T13:20:00Z</dcterms:created>
  <dcterms:modified xsi:type="dcterms:W3CDTF">2015-08-12T13:57:00Z</dcterms:modified>
</cp:coreProperties>
</file>