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39" w:rsidRDefault="00ED1139" w:rsidP="005B2D2D">
      <w:pPr>
        <w:spacing w:before="120" w:after="120"/>
        <w:rPr>
          <w:b/>
          <w:sz w:val="36"/>
          <w:szCs w:val="36"/>
        </w:rPr>
      </w:pPr>
      <w:r>
        <w:rPr>
          <w:b/>
          <w:sz w:val="36"/>
          <w:szCs w:val="36"/>
        </w:rPr>
        <w:t>Datenblatt: Spezielle Populationen in klinischen Studien</w:t>
      </w:r>
    </w:p>
    <w:p w:rsidR="005B2D2D" w:rsidRDefault="005B2D2D" w:rsidP="005B2D2D">
      <w:pPr>
        <w:spacing w:before="120" w:after="120"/>
        <w:rPr>
          <w:b/>
          <w:sz w:val="36"/>
          <w:szCs w:val="36"/>
        </w:rPr>
      </w:pPr>
    </w:p>
    <w:p w:rsidR="00C84033" w:rsidRPr="00952E1F" w:rsidRDefault="00952E1F" w:rsidP="005B2D2D">
      <w:pPr>
        <w:spacing w:before="120" w:after="120"/>
        <w:rPr>
          <w:rFonts w:cs="Arial"/>
          <w:b/>
          <w:sz w:val="22"/>
        </w:rPr>
      </w:pPr>
      <w:r>
        <w:rPr>
          <w:b/>
          <w:sz w:val="22"/>
          <w:rFonts w:cs="Arial"/>
        </w:rPr>
        <w:t>1. Was sind spezielle Populationen?</w:t>
      </w:r>
    </w:p>
    <w:p w:rsidR="00952E1F" w:rsidRPr="00952E1F" w:rsidRDefault="00952E1F" w:rsidP="005B2D2D">
      <w:pPr>
        <w:spacing w:before="120" w:after="120"/>
        <w:rPr>
          <w:rFonts w:cs="Arial"/>
          <w:b/>
          <w:sz w:val="22"/>
        </w:rPr>
      </w:pPr>
    </w:p>
    <w:p w:rsidR="00952E1F" w:rsidRPr="00952E1F" w:rsidRDefault="00952E1F" w:rsidP="00952E1F">
      <w:pPr>
        <w:rPr>
          <w:rFonts w:cs="Arial"/>
          <w:sz w:val="22"/>
        </w:rPr>
      </w:pPr>
      <w:r>
        <w:rPr>
          <w:sz w:val="22"/>
          <w:rFonts w:cs="Arial"/>
        </w:rPr>
        <w:t>Für bestimmte Untergruppen der Allgemeinbevölkerung müssen möglicherweise spezielle Studien durchgeführt werden. Hierfür gibt es die folgenden möglichen Gründe:</w:t>
      </w:r>
    </w:p>
    <w:p w:rsidR="00952E1F" w:rsidRPr="00952E1F" w:rsidRDefault="00952E1F" w:rsidP="00952E1F">
      <w:pPr>
        <w:pStyle w:val="ColorfulList-Accent1"/>
        <w:numPr>
          <w:ilvl w:val="0"/>
          <w:numId w:val="16"/>
        </w:numPr>
        <w:spacing w:after="0" w:line="240" w:lineRule="auto"/>
        <w:rPr>
          <w:rFonts w:ascii="Arial" w:hAnsi="Arial" w:cs="Arial"/>
          <w:szCs w:val="22"/>
          <w:lang w:val="en-GB"/>
        </w:rPr>
      </w:pPr>
      <w:r>
        <w:rPr>
          <w:szCs w:val="22"/>
          <w:rFonts w:ascii="Arial" w:hAnsi="Arial" w:cs="Arial"/>
        </w:rPr>
        <w:t>Risiko oder Nutzen sind bei bestimmten Bevölkerungsgruppen spezieller Natur und erfordern besondere Aufmerksamkeit</w:t>
      </w:r>
    </w:p>
    <w:p w:rsidR="00952E1F" w:rsidRPr="00952E1F" w:rsidRDefault="00952E1F" w:rsidP="00952E1F">
      <w:pPr>
        <w:pStyle w:val="ColorfulList-Accent1"/>
        <w:numPr>
          <w:ilvl w:val="0"/>
          <w:numId w:val="16"/>
        </w:numPr>
        <w:spacing w:after="0" w:line="240" w:lineRule="auto"/>
        <w:rPr>
          <w:rFonts w:ascii="Arial" w:hAnsi="Arial" w:cs="Arial"/>
          <w:szCs w:val="22"/>
          <w:lang w:val="en-GB"/>
        </w:rPr>
      </w:pPr>
      <w:r>
        <w:rPr>
          <w:color w:val="121212"/>
          <w:szCs w:val="22"/>
          <w:rFonts w:ascii="Arial" w:hAnsi="Arial" w:cs="Arial"/>
        </w:rPr>
        <w:t>Einer bestimmten Bevölkerungsgruppe angehörige Probanden benötigen eine andere Dosierung oder ein anderes Behandlungsschema als die Allgemeinbevölkerung.</w:t>
      </w:r>
    </w:p>
    <w:p w:rsidR="00952E1F" w:rsidRPr="00952E1F" w:rsidRDefault="00952E1F" w:rsidP="00952E1F">
      <w:pPr>
        <w:spacing w:before="0"/>
        <w:rPr>
          <w:rFonts w:cs="Arial"/>
          <w:sz w:val="22"/>
        </w:rPr>
      </w:pPr>
    </w:p>
    <w:p w:rsidR="00952E1F" w:rsidRPr="00952E1F" w:rsidRDefault="00952E1F" w:rsidP="00952E1F">
      <w:pPr>
        <w:pStyle w:val="ThingHeading"/>
        <w:numPr>
          <w:ilvl w:val="0"/>
          <w:numId w:val="0"/>
        </w:numPr>
        <w:ind w:left="360" w:hanging="360"/>
        <w:rPr>
          <w:rFonts w:ascii="Arial" w:hAnsi="Arial" w:cs="Arial"/>
          <w:b/>
          <w:color w:val="auto"/>
          <w:sz w:val="22"/>
          <w:szCs w:val="22"/>
        </w:rPr>
      </w:pPr>
      <w:r>
        <w:rPr>
          <w:b/>
          <w:color w:val="auto"/>
          <w:sz w:val="22"/>
          <w:szCs w:val="22"/>
          <w:rFonts w:ascii="Arial" w:hAnsi="Arial" w:cs="Arial"/>
        </w:rPr>
        <w:t>2. Welche Gruppen werden als „spezielle Populationen“ angesehen?</w:t>
      </w:r>
    </w:p>
    <w:p w:rsidR="00952E1F" w:rsidRPr="00952E1F" w:rsidRDefault="00952E1F" w:rsidP="00952E1F">
      <w:pPr>
        <w:pStyle w:val="ColorfulList-Accent1"/>
        <w:numPr>
          <w:ilvl w:val="0"/>
          <w:numId w:val="13"/>
        </w:numPr>
        <w:spacing w:after="0" w:line="240" w:lineRule="auto"/>
        <w:contextualSpacing w:val="0"/>
        <w:rPr>
          <w:rFonts w:ascii="Arial" w:hAnsi="Arial" w:cs="Arial"/>
          <w:szCs w:val="22"/>
          <w:lang w:val="en-GB"/>
        </w:rPr>
      </w:pPr>
      <w:r>
        <w:rPr>
          <w:szCs w:val="22"/>
          <w:rFonts w:ascii="Arial" w:hAnsi="Arial" w:cs="Arial"/>
        </w:rPr>
        <w:t>Patienten mit eingeschränkter Ausscheidungsleistung</w:t>
      </w:r>
    </w:p>
    <w:p w:rsidR="00952E1F" w:rsidRPr="00952E1F" w:rsidRDefault="00952E1F" w:rsidP="00952E1F">
      <w:pPr>
        <w:pStyle w:val="ColorfulList-Accent1"/>
        <w:numPr>
          <w:ilvl w:val="0"/>
          <w:numId w:val="13"/>
        </w:numPr>
        <w:spacing w:after="0" w:line="240" w:lineRule="auto"/>
        <w:contextualSpacing w:val="0"/>
        <w:rPr>
          <w:rFonts w:ascii="Arial" w:hAnsi="Arial" w:cs="Arial"/>
          <w:szCs w:val="22"/>
          <w:lang w:val="en-GB"/>
        </w:rPr>
      </w:pPr>
      <w:r>
        <w:rPr>
          <w:szCs w:val="22"/>
          <w:rFonts w:ascii="Arial" w:hAnsi="Arial" w:cs="Arial"/>
        </w:rPr>
        <w:t>Ältere Menschen</w:t>
      </w:r>
    </w:p>
    <w:p w:rsidR="00952E1F" w:rsidRPr="00952E1F" w:rsidRDefault="00952E1F" w:rsidP="00952E1F">
      <w:pPr>
        <w:pStyle w:val="ColorfulList-Accent1"/>
        <w:numPr>
          <w:ilvl w:val="0"/>
          <w:numId w:val="13"/>
        </w:numPr>
        <w:spacing w:after="0" w:line="240" w:lineRule="auto"/>
        <w:contextualSpacing w:val="0"/>
        <w:rPr>
          <w:rFonts w:ascii="Arial" w:hAnsi="Arial" w:cs="Arial"/>
          <w:szCs w:val="22"/>
          <w:lang w:val="en-GB"/>
        </w:rPr>
      </w:pPr>
      <w:r>
        <w:rPr>
          <w:szCs w:val="22"/>
          <w:rFonts w:ascii="Arial" w:hAnsi="Arial" w:cs="Arial"/>
        </w:rPr>
        <w:t>Schwangere und stillende Frauen</w:t>
      </w:r>
    </w:p>
    <w:p w:rsidR="00952E1F" w:rsidRPr="00952E1F" w:rsidRDefault="00952E1F" w:rsidP="00952E1F">
      <w:pPr>
        <w:pStyle w:val="ColorfulList-Accent1"/>
        <w:numPr>
          <w:ilvl w:val="0"/>
          <w:numId w:val="13"/>
        </w:numPr>
        <w:spacing w:after="0" w:line="240" w:lineRule="auto"/>
        <w:contextualSpacing w:val="0"/>
        <w:rPr>
          <w:rFonts w:ascii="Arial" w:hAnsi="Arial" w:cs="Arial"/>
          <w:szCs w:val="22"/>
          <w:lang w:val="en-GB"/>
        </w:rPr>
      </w:pPr>
      <w:r>
        <w:rPr>
          <w:szCs w:val="22"/>
          <w:rFonts w:ascii="Arial" w:hAnsi="Arial" w:cs="Arial"/>
        </w:rPr>
        <w:t>Kinder</w:t>
      </w:r>
    </w:p>
    <w:p w:rsidR="00952E1F" w:rsidRPr="00952E1F" w:rsidRDefault="00952E1F" w:rsidP="00952E1F">
      <w:pPr>
        <w:pStyle w:val="ColorfulList-Accent1"/>
        <w:numPr>
          <w:ilvl w:val="0"/>
          <w:numId w:val="13"/>
        </w:numPr>
        <w:spacing w:after="0" w:line="240" w:lineRule="auto"/>
        <w:contextualSpacing w:val="0"/>
        <w:rPr>
          <w:rFonts w:ascii="Arial" w:hAnsi="Arial" w:cs="Arial"/>
          <w:szCs w:val="22"/>
          <w:lang w:val="en-GB"/>
        </w:rPr>
      </w:pPr>
      <w:r>
        <w:rPr>
          <w:szCs w:val="22"/>
          <w:rFonts w:ascii="Arial" w:hAnsi="Arial" w:cs="Arial"/>
        </w:rPr>
        <w:t>Ethnische Untergruppen</w:t>
      </w:r>
    </w:p>
    <w:p w:rsidR="00952E1F" w:rsidRPr="00952E1F" w:rsidRDefault="00952E1F" w:rsidP="00952E1F">
      <w:pPr>
        <w:spacing w:before="0"/>
        <w:rPr>
          <w:rFonts w:cs="Arial"/>
          <w:sz w:val="22"/>
        </w:rPr>
      </w:pPr>
    </w:p>
    <w:p w:rsidR="00952E1F" w:rsidRPr="00952E1F" w:rsidRDefault="00952E1F" w:rsidP="00952E1F">
      <w:pPr>
        <w:pStyle w:val="ThingHeading"/>
        <w:numPr>
          <w:ilvl w:val="0"/>
          <w:numId w:val="0"/>
        </w:numPr>
        <w:ind w:left="360" w:hanging="360"/>
        <w:rPr>
          <w:rFonts w:ascii="Arial" w:hAnsi="Arial" w:cs="Arial"/>
          <w:b/>
          <w:color w:val="auto"/>
          <w:sz w:val="22"/>
          <w:szCs w:val="22"/>
        </w:rPr>
      </w:pPr>
      <w:r>
        <w:rPr>
          <w:b/>
          <w:color w:val="auto"/>
          <w:sz w:val="22"/>
          <w:szCs w:val="22"/>
          <w:rFonts w:ascii="Arial" w:hAnsi="Arial" w:cs="Arial"/>
        </w:rPr>
        <w:t>3. Warum benötigen diese Populationen spezielle Studien?</w:t>
      </w:r>
    </w:p>
    <w:p w:rsidR="00952E1F" w:rsidRPr="00952E1F" w:rsidRDefault="00952E1F" w:rsidP="00952E1F">
      <w:pPr>
        <w:pStyle w:val="Thingdescription"/>
        <w:spacing w:before="120" w:after="0"/>
        <w:rPr>
          <w:rFonts w:ascii="Arial" w:hAnsi="Arial" w:cs="Arial"/>
          <w:b/>
          <w:sz w:val="22"/>
          <w:szCs w:val="22"/>
        </w:rPr>
      </w:pPr>
      <w:r>
        <w:rPr>
          <w:b/>
          <w:sz w:val="22"/>
          <w:szCs w:val="22"/>
          <w:rFonts w:ascii="Arial" w:hAnsi="Arial" w:cs="Arial"/>
        </w:rPr>
        <w:t>Ältere Menschen</w:t>
      </w:r>
    </w:p>
    <w:p w:rsidR="00952E1F" w:rsidRPr="00952E1F" w:rsidRDefault="00952E1F" w:rsidP="00952E1F">
      <w:pPr>
        <w:rPr>
          <w:rFonts w:cs="Arial"/>
          <w:sz w:val="22"/>
        </w:rPr>
      </w:pPr>
      <w:r>
        <w:rPr>
          <w:sz w:val="22"/>
          <w:rFonts w:cs="Arial"/>
        </w:rPr>
        <w:t>Der Einsatz von Arzneimitteln bei dieser Bevölkerungsgruppe bedarf aufgrund des häufigen Auftretens von Grundleiden, der gleichzeitigen Einnahme oder Anwendung anderer Arzneimittel und des daraus resultierenden Risikos von Arzneimittelwechselwirkungen besonderer Sorgfalt.</w:t>
      </w:r>
    </w:p>
    <w:p w:rsidR="00952E1F" w:rsidRPr="00952E1F" w:rsidRDefault="00952E1F" w:rsidP="00952E1F">
      <w:pPr>
        <w:rPr>
          <w:rFonts w:cs="Arial"/>
          <w:sz w:val="22"/>
        </w:rPr>
      </w:pPr>
      <w:r>
        <w:rPr>
          <w:sz w:val="22"/>
          <w:rFonts w:cs="Arial"/>
        </w:rPr>
        <w:t>Nicht alle möglicherweise bei älteren Menschen auftretenden Unterschiede können auf Grundlage der an Menschen jungen und mittleren Alters gewonnenen Erkenntnisse vorhergesagt werden. Unterschiede können möglicherweise hinsichtlich folgender Aspekte auftreten:</w:t>
      </w:r>
    </w:p>
    <w:p w:rsidR="00952E1F" w:rsidRPr="00952E1F" w:rsidRDefault="00952E1F" w:rsidP="00952E1F">
      <w:pPr>
        <w:numPr>
          <w:ilvl w:val="0"/>
          <w:numId w:val="18"/>
        </w:numPr>
        <w:spacing w:before="0"/>
        <w:contextualSpacing w:val="0"/>
        <w:rPr>
          <w:rFonts w:cs="Arial"/>
          <w:sz w:val="22"/>
        </w:rPr>
      </w:pPr>
      <w:r>
        <w:rPr>
          <w:sz w:val="22"/>
          <w:rFonts w:cs="Arial"/>
        </w:rPr>
        <w:t>Pharmakokinetik – Was der Körper mit dem Arzneimittel macht</w:t>
      </w:r>
    </w:p>
    <w:p w:rsidR="00952E1F" w:rsidRPr="00952E1F" w:rsidRDefault="00952E1F" w:rsidP="00952E1F">
      <w:pPr>
        <w:numPr>
          <w:ilvl w:val="0"/>
          <w:numId w:val="18"/>
        </w:numPr>
        <w:spacing w:before="0"/>
        <w:contextualSpacing w:val="0"/>
        <w:rPr>
          <w:rFonts w:cs="Arial"/>
          <w:sz w:val="22"/>
        </w:rPr>
      </w:pPr>
      <w:r>
        <w:rPr>
          <w:sz w:val="22"/>
          <w:rFonts w:cs="Arial"/>
        </w:rPr>
        <w:t>Pharmakodynamik – Was das Arzneimittel mit dem Körper macht</w:t>
      </w:r>
    </w:p>
    <w:p w:rsidR="00952E1F" w:rsidRPr="00952E1F" w:rsidRDefault="00952E1F" w:rsidP="00952E1F">
      <w:pPr>
        <w:numPr>
          <w:ilvl w:val="0"/>
          <w:numId w:val="18"/>
        </w:numPr>
        <w:spacing w:before="0"/>
        <w:contextualSpacing w:val="0"/>
        <w:rPr>
          <w:rFonts w:cs="Arial"/>
          <w:sz w:val="22"/>
        </w:rPr>
      </w:pPr>
      <w:r>
        <w:rPr>
          <w:sz w:val="22"/>
          <w:rFonts w:cs="Arial"/>
        </w:rPr>
        <w:t>Erkrankung-Arzneimittel-Wechselwirkungen – Wechselwirkungen zwischen dem Arzneimittel und den vorliegenden Erkrankungen</w:t>
      </w:r>
    </w:p>
    <w:p w:rsidR="00952E1F" w:rsidRPr="00952E1F" w:rsidRDefault="00952E1F" w:rsidP="00952E1F">
      <w:pPr>
        <w:numPr>
          <w:ilvl w:val="0"/>
          <w:numId w:val="18"/>
        </w:numPr>
        <w:spacing w:before="0"/>
        <w:contextualSpacing w:val="0"/>
        <w:rPr>
          <w:rFonts w:cs="Arial"/>
          <w:sz w:val="22"/>
        </w:rPr>
      </w:pPr>
      <w:r>
        <w:rPr>
          <w:sz w:val="22"/>
          <w:rFonts w:cs="Arial"/>
        </w:rPr>
        <w:t>Arzneimittelwechselwirkungen – Wechselwirkungen zwischen dem untersuchten Arzneimittel und anderen vom Patienten eingenommenen Arzneimitteln</w:t>
      </w:r>
    </w:p>
    <w:p w:rsidR="00952E1F" w:rsidRPr="00952E1F" w:rsidRDefault="00952E1F" w:rsidP="00952E1F">
      <w:pPr>
        <w:numPr>
          <w:ilvl w:val="0"/>
          <w:numId w:val="18"/>
        </w:numPr>
        <w:spacing w:before="0"/>
        <w:contextualSpacing w:val="0"/>
        <w:rPr>
          <w:rFonts w:cs="Arial"/>
          <w:sz w:val="22"/>
        </w:rPr>
      </w:pPr>
      <w:r>
        <w:rPr>
          <w:sz w:val="22"/>
          <w:rFonts w:cs="Arial"/>
        </w:rPr>
        <w:t>Klinisches Ansprechen – Die Auswirkungen des Arzneimittels auf die Erkrankung</w:t>
      </w:r>
    </w:p>
    <w:p w:rsidR="00952E1F" w:rsidRPr="00952E1F" w:rsidRDefault="00952E1F" w:rsidP="00952E1F">
      <w:pPr>
        <w:rPr>
          <w:rFonts w:cs="Arial"/>
          <w:sz w:val="22"/>
        </w:rPr>
      </w:pPr>
    </w:p>
    <w:p w:rsidR="00952E1F" w:rsidRPr="00952E1F" w:rsidRDefault="00952E1F" w:rsidP="00952E1F">
      <w:pPr>
        <w:rPr>
          <w:rFonts w:cs="Arial"/>
          <w:b/>
          <w:sz w:val="22"/>
        </w:rPr>
      </w:pPr>
      <w:r>
        <w:rPr>
          <w:b/>
          <w:sz w:val="22"/>
          <w:rFonts w:cs="Arial"/>
        </w:rPr>
        <w:t>Patienten mit eingeschränkter Ausscheidungsleistung</w:t>
      </w:r>
    </w:p>
    <w:p w:rsidR="00952E1F" w:rsidRPr="00952E1F" w:rsidRDefault="00952E1F" w:rsidP="00952E1F">
      <w:pPr>
        <w:pStyle w:val="Thingdescription"/>
        <w:spacing w:before="0" w:after="0" w:line="240" w:lineRule="auto"/>
        <w:rPr>
          <w:rFonts w:ascii="Arial" w:hAnsi="Arial" w:cs="Arial"/>
          <w:sz w:val="22"/>
          <w:szCs w:val="22"/>
        </w:rPr>
      </w:pPr>
      <w:r>
        <w:rPr>
          <w:sz w:val="22"/>
          <w:szCs w:val="22"/>
          <w:rFonts w:ascii="Arial" w:hAnsi="Arial" w:cs="Arial"/>
        </w:rPr>
        <w:t>Es bedarf spezifischer pharmakokinetischer Studien, um die Auswirkungen bei Patienten mit eingeschränkter Ausscheidungsleistung zu beobachten. Derartige Studien sollten die folgenden Bevölkerungsgruppen umfassen:</w:t>
      </w:r>
    </w:p>
    <w:p w:rsidR="00952E1F" w:rsidRPr="00952E1F" w:rsidRDefault="00952E1F" w:rsidP="00952E1F">
      <w:pPr>
        <w:pStyle w:val="Thingdescription"/>
        <w:numPr>
          <w:ilvl w:val="0"/>
          <w:numId w:val="19"/>
        </w:numPr>
        <w:spacing w:before="0" w:after="0" w:line="240" w:lineRule="auto"/>
        <w:rPr>
          <w:rFonts w:ascii="Arial" w:hAnsi="Arial" w:cs="Arial"/>
          <w:sz w:val="22"/>
          <w:szCs w:val="22"/>
        </w:rPr>
      </w:pPr>
      <w:r>
        <w:rPr>
          <w:sz w:val="22"/>
          <w:szCs w:val="22"/>
          <w:rFonts w:ascii="Arial" w:hAnsi="Arial" w:cs="Arial"/>
        </w:rPr>
        <w:t>Ältere Patienten, oder jüngere Patienten mit derartigen Einschränkungen</w:t>
      </w:r>
    </w:p>
    <w:p w:rsidR="00952E1F" w:rsidRPr="00952E1F" w:rsidRDefault="00952E1F" w:rsidP="00952E1F">
      <w:pPr>
        <w:pStyle w:val="Thingdescription"/>
        <w:numPr>
          <w:ilvl w:val="0"/>
          <w:numId w:val="19"/>
        </w:numPr>
        <w:spacing w:before="0" w:after="0" w:line="240" w:lineRule="auto"/>
        <w:rPr>
          <w:rFonts w:ascii="Arial" w:hAnsi="Arial" w:cs="Arial"/>
          <w:sz w:val="22"/>
          <w:szCs w:val="22"/>
        </w:rPr>
      </w:pPr>
      <w:r>
        <w:rPr>
          <w:sz w:val="22"/>
          <w:szCs w:val="22"/>
          <w:rFonts w:ascii="Arial" w:hAnsi="Arial" w:cs="Arial"/>
        </w:rPr>
        <w:t>Menschen, die aufgrund von Nieren- oder Leberproblemen möglicherweise Schwierigkeiten haben, das Arzneimittel aus dem Körper auszuscheiden.</w:t>
      </w:r>
    </w:p>
    <w:p w:rsidR="00952E1F" w:rsidRPr="00952E1F" w:rsidRDefault="00952E1F" w:rsidP="00952E1F">
      <w:pPr>
        <w:pStyle w:val="Thingdescription"/>
        <w:spacing w:before="0" w:after="0" w:line="240" w:lineRule="auto"/>
        <w:rPr>
          <w:rFonts w:ascii="Arial" w:hAnsi="Arial" w:cs="Arial"/>
          <w:sz w:val="22"/>
          <w:szCs w:val="22"/>
        </w:rPr>
      </w:pPr>
    </w:p>
    <w:p w:rsidR="00952E1F" w:rsidRPr="00952E1F" w:rsidRDefault="00952E1F" w:rsidP="00952E1F">
      <w:pPr>
        <w:rPr>
          <w:rFonts w:cs="Arial"/>
          <w:b/>
          <w:sz w:val="22"/>
        </w:rPr>
      </w:pPr>
      <w:r>
        <w:rPr>
          <w:b/>
          <w:sz w:val="22"/>
          <w:rFonts w:cs="Arial"/>
        </w:rPr>
        <w:t>Schwangere und Stillende</w:t>
      </w:r>
    </w:p>
    <w:p w:rsidR="00952E1F" w:rsidRPr="00952E1F" w:rsidRDefault="00952E1F" w:rsidP="00952E1F">
      <w:pPr>
        <w:rPr>
          <w:rFonts w:cs="Arial"/>
          <w:sz w:val="22"/>
        </w:rPr>
      </w:pPr>
      <w:r>
        <w:rPr>
          <w:sz w:val="22"/>
          <w:rFonts w:cs="Arial"/>
        </w:rPr>
        <w:t>Im Allgemeinen sollten Schwangere von klinischen Studien ausgeschlossen werden, sofern das Arzneimittel nicht für die Anwendung in der Schwangerschaft vorgesehen ist. Wird eine Frau im Verlauf der Teilnahme an einer klinischen Studie und der damit verbundenen Einnahme eines Arzneimittels schwanger, sollte die Behandlung abgebrochen werden, sofern dies gefahrlos möglich ist.</w:t>
      </w:r>
    </w:p>
    <w:p w:rsidR="00952E1F" w:rsidRPr="00952E1F" w:rsidRDefault="00952E1F" w:rsidP="00952E1F">
      <w:pPr>
        <w:rPr>
          <w:rFonts w:cs="Arial"/>
          <w:sz w:val="22"/>
        </w:rPr>
      </w:pPr>
      <w:r>
        <w:rPr>
          <w:sz w:val="22"/>
          <w:rFonts w:cs="Arial"/>
        </w:rPr>
        <w:t>Für klinische Studien unter Beteiligung von Schwangeren (wenn das Arzneimittel für die Anwendung in der Schwangerschaft vorgesehen ist) gilt:</w:t>
      </w:r>
    </w:p>
    <w:p w:rsidR="00952E1F" w:rsidRPr="00952E1F" w:rsidRDefault="00952E1F" w:rsidP="00952E1F">
      <w:pPr>
        <w:pStyle w:val="ColorfulList-Accent1"/>
        <w:numPr>
          <w:ilvl w:val="0"/>
          <w:numId w:val="17"/>
        </w:numPr>
        <w:overflowPunct w:val="0"/>
        <w:autoSpaceDE w:val="0"/>
        <w:autoSpaceDN w:val="0"/>
        <w:adjustRightInd w:val="0"/>
        <w:spacing w:before="120" w:after="120" w:line="240" w:lineRule="auto"/>
        <w:ind w:hanging="294"/>
        <w:contextualSpacing w:val="0"/>
        <w:textAlignment w:val="baseline"/>
        <w:rPr>
          <w:rFonts w:ascii="Arial" w:hAnsi="Arial" w:cs="Arial"/>
          <w:szCs w:val="22"/>
          <w:lang w:val="en-GB"/>
        </w:rPr>
      </w:pPr>
      <w:r>
        <w:rPr>
          <w:szCs w:val="22"/>
          <w:rFonts w:ascii="Arial" w:hAnsi="Arial" w:cs="Arial"/>
        </w:rPr>
        <w:t>Untersuchungen zur Reproduktionstoxizität sind Routine. Vor der Aufnahme von Schwangeren in die Studie muss diesen Untersuchungen jedoch besondere Aufmerksamkeit gewidmet werden.</w:t>
      </w:r>
    </w:p>
    <w:p w:rsidR="00952E1F" w:rsidRPr="00952E1F" w:rsidRDefault="00952E1F" w:rsidP="00952E1F">
      <w:pPr>
        <w:pStyle w:val="ColorfulList-Accent1"/>
        <w:numPr>
          <w:ilvl w:val="0"/>
          <w:numId w:val="17"/>
        </w:numPr>
        <w:overflowPunct w:val="0"/>
        <w:autoSpaceDE w:val="0"/>
        <w:autoSpaceDN w:val="0"/>
        <w:adjustRightInd w:val="0"/>
        <w:spacing w:before="120" w:after="120" w:line="240" w:lineRule="auto"/>
        <w:ind w:hanging="294"/>
        <w:contextualSpacing w:val="0"/>
        <w:textAlignment w:val="baseline"/>
        <w:rPr>
          <w:rFonts w:ascii="Arial" w:hAnsi="Arial" w:cs="Arial"/>
          <w:szCs w:val="22"/>
          <w:lang w:val="en-GB"/>
        </w:rPr>
      </w:pPr>
      <w:r>
        <w:rPr>
          <w:szCs w:val="22"/>
          <w:rFonts w:ascii="Arial" w:hAnsi="Arial" w:cs="Arial"/>
        </w:rPr>
        <w:t>Die Schwangerschaft und der Fötus bzw. anschließend das Kind müssen unbedingt sorgfältig überwacht werden.</w:t>
      </w:r>
    </w:p>
    <w:p w:rsidR="00952E1F" w:rsidRPr="00952E1F" w:rsidRDefault="00952E1F" w:rsidP="00952E1F">
      <w:pPr>
        <w:rPr>
          <w:rFonts w:cs="Arial"/>
          <w:sz w:val="22"/>
        </w:rPr>
      </w:pPr>
      <w:r>
        <w:rPr>
          <w:sz w:val="22"/>
          <w:rFonts w:cs="Arial"/>
        </w:rPr>
        <w:t>Nehmen stillende Mütter an einer klinischen Studie teil, müssen ihre Kinder auf Auswirkungen des Arzneimittels überwacht werden. In manchen Fällen geht das Arzneimittel (bzw. dessen Stoffwechselprodukte) in die Muttermilch über, und es muss für jedes Arzneimittel untersucht werden, ob dies der Fall ist.</w:t>
      </w:r>
    </w:p>
    <w:p w:rsidR="00952E1F" w:rsidRPr="00952E1F" w:rsidRDefault="00952E1F" w:rsidP="00952E1F">
      <w:pPr>
        <w:rPr>
          <w:rFonts w:cs="Arial"/>
          <w:sz w:val="22"/>
        </w:rPr>
      </w:pPr>
    </w:p>
    <w:p w:rsidR="00952E1F" w:rsidRPr="00952E1F" w:rsidRDefault="00952E1F" w:rsidP="00952E1F">
      <w:pPr>
        <w:rPr>
          <w:rFonts w:cs="Arial"/>
          <w:b/>
          <w:sz w:val="22"/>
        </w:rPr>
      </w:pPr>
      <w:r>
        <w:rPr>
          <w:b/>
          <w:sz w:val="22"/>
          <w:rFonts w:cs="Arial"/>
        </w:rPr>
        <w:t>Studien unter Beteiligung von Kindern (pädiatrische Studien)</w:t>
      </w:r>
    </w:p>
    <w:p w:rsidR="00952E1F" w:rsidRPr="00952E1F" w:rsidRDefault="00952E1F" w:rsidP="00952E1F">
      <w:pPr>
        <w:rPr>
          <w:rFonts w:cs="Arial"/>
          <w:sz w:val="22"/>
        </w:rPr>
      </w:pPr>
      <w:r>
        <w:rPr>
          <w:sz w:val="22"/>
          <w:rFonts w:cs="Arial"/>
        </w:rPr>
        <w:t>Kinder stellen eine verletzliche Population dar, daher müssen klinische Studien unter Beteiligung von Kindern unter Bedingungen durchgeführt werden, die den bestmöglichen Schutz bieten.</w:t>
      </w:r>
    </w:p>
    <w:p w:rsidR="00952E1F" w:rsidRPr="00952E1F" w:rsidRDefault="00952E1F" w:rsidP="00952E1F">
      <w:pPr>
        <w:rPr>
          <w:rFonts w:cs="Arial"/>
          <w:sz w:val="22"/>
        </w:rPr>
      </w:pPr>
      <w:r>
        <w:rPr>
          <w:sz w:val="22"/>
          <w:rFonts w:cs="Arial"/>
        </w:rPr>
        <w:t>Für Kinder sind die folgenden Alterskategorien definiert:</w:t>
      </w:r>
    </w:p>
    <w:p w:rsidR="00952E1F" w:rsidRPr="00952E1F" w:rsidRDefault="00952E1F" w:rsidP="00952E1F">
      <w:pPr>
        <w:pStyle w:val="ColorfulList-Accent1"/>
        <w:numPr>
          <w:ilvl w:val="0"/>
          <w:numId w:val="15"/>
        </w:numPr>
        <w:overflowPunct w:val="0"/>
        <w:autoSpaceDE w:val="0"/>
        <w:autoSpaceDN w:val="0"/>
        <w:adjustRightInd w:val="0"/>
        <w:spacing w:after="0" w:line="240" w:lineRule="auto"/>
        <w:contextualSpacing w:val="0"/>
        <w:textAlignment w:val="baseline"/>
        <w:rPr>
          <w:rFonts w:ascii="Arial" w:hAnsi="Arial" w:cs="Arial"/>
          <w:szCs w:val="22"/>
          <w:lang w:val="en-GB"/>
        </w:rPr>
      </w:pPr>
      <w:r>
        <w:rPr>
          <w:szCs w:val="22"/>
          <w:rFonts w:ascii="Arial" w:hAnsi="Arial" w:cs="Arial"/>
        </w:rPr>
        <w:t>Frühgeborene (vor der 37. Schwangerschaftswoche geboren)</w:t>
      </w:r>
    </w:p>
    <w:p w:rsidR="00952E1F" w:rsidRPr="00952E1F" w:rsidRDefault="00952E1F" w:rsidP="00952E1F">
      <w:pPr>
        <w:pStyle w:val="ColorfulList-Accent1"/>
        <w:numPr>
          <w:ilvl w:val="0"/>
          <w:numId w:val="15"/>
        </w:numPr>
        <w:overflowPunct w:val="0"/>
        <w:autoSpaceDE w:val="0"/>
        <w:autoSpaceDN w:val="0"/>
        <w:adjustRightInd w:val="0"/>
        <w:spacing w:after="0" w:line="240" w:lineRule="auto"/>
        <w:contextualSpacing w:val="0"/>
        <w:textAlignment w:val="baseline"/>
        <w:rPr>
          <w:rFonts w:ascii="Arial" w:hAnsi="Arial" w:cs="Arial"/>
          <w:szCs w:val="22"/>
          <w:lang w:val="en-GB"/>
        </w:rPr>
      </w:pPr>
      <w:r>
        <w:rPr>
          <w:szCs w:val="22"/>
          <w:rFonts w:ascii="Arial" w:hAnsi="Arial" w:cs="Arial"/>
        </w:rPr>
        <w:t>Neugeborene (0 bis 27 Tage)</w:t>
      </w:r>
    </w:p>
    <w:p w:rsidR="00952E1F" w:rsidRPr="00952E1F" w:rsidRDefault="00952E1F" w:rsidP="00952E1F">
      <w:pPr>
        <w:pStyle w:val="ColorfulList-Accent1"/>
        <w:numPr>
          <w:ilvl w:val="0"/>
          <w:numId w:val="15"/>
        </w:numPr>
        <w:overflowPunct w:val="0"/>
        <w:autoSpaceDE w:val="0"/>
        <w:autoSpaceDN w:val="0"/>
        <w:adjustRightInd w:val="0"/>
        <w:spacing w:after="0" w:line="240" w:lineRule="auto"/>
        <w:contextualSpacing w:val="0"/>
        <w:textAlignment w:val="baseline"/>
        <w:rPr>
          <w:rFonts w:ascii="Arial" w:hAnsi="Arial" w:cs="Arial"/>
          <w:szCs w:val="22"/>
          <w:lang w:val="en-GB"/>
        </w:rPr>
      </w:pPr>
      <w:r>
        <w:rPr>
          <w:szCs w:val="22"/>
          <w:rFonts w:ascii="Arial" w:hAnsi="Arial" w:cs="Arial"/>
        </w:rPr>
        <w:t>Säuglinge und Kleinstkinder (28 Tage bis 23 Monate)</w:t>
      </w:r>
    </w:p>
    <w:p w:rsidR="00952E1F" w:rsidRPr="00952E1F" w:rsidRDefault="00952E1F" w:rsidP="00952E1F">
      <w:pPr>
        <w:pStyle w:val="ColorfulList-Accent1"/>
        <w:numPr>
          <w:ilvl w:val="0"/>
          <w:numId w:val="15"/>
        </w:numPr>
        <w:overflowPunct w:val="0"/>
        <w:autoSpaceDE w:val="0"/>
        <w:autoSpaceDN w:val="0"/>
        <w:adjustRightInd w:val="0"/>
        <w:spacing w:after="0" w:line="240" w:lineRule="auto"/>
        <w:contextualSpacing w:val="0"/>
        <w:textAlignment w:val="baseline"/>
        <w:rPr>
          <w:rFonts w:ascii="Arial" w:hAnsi="Arial" w:cs="Arial"/>
          <w:szCs w:val="22"/>
          <w:lang w:val="en-GB"/>
        </w:rPr>
      </w:pPr>
      <w:r>
        <w:rPr>
          <w:szCs w:val="22"/>
          <w:rFonts w:ascii="Arial" w:hAnsi="Arial" w:cs="Arial"/>
        </w:rPr>
        <w:t>Kinder (2 bis 11 Jahre)</w:t>
      </w:r>
    </w:p>
    <w:p w:rsidR="00952E1F" w:rsidRPr="00952E1F" w:rsidRDefault="00952E1F" w:rsidP="00952E1F">
      <w:pPr>
        <w:pStyle w:val="ColorfulList-Accent1"/>
        <w:numPr>
          <w:ilvl w:val="0"/>
          <w:numId w:val="15"/>
        </w:numPr>
        <w:overflowPunct w:val="0"/>
        <w:autoSpaceDE w:val="0"/>
        <w:autoSpaceDN w:val="0"/>
        <w:adjustRightInd w:val="0"/>
        <w:spacing w:after="0" w:line="240" w:lineRule="auto"/>
        <w:contextualSpacing w:val="0"/>
        <w:textAlignment w:val="baseline"/>
        <w:rPr>
          <w:rFonts w:ascii="Arial" w:hAnsi="Arial" w:cs="Arial"/>
          <w:szCs w:val="22"/>
          <w:lang w:val="en-GB"/>
        </w:rPr>
      </w:pPr>
      <w:r>
        <w:rPr>
          <w:szCs w:val="22"/>
          <w:rFonts w:ascii="Arial" w:hAnsi="Arial" w:cs="Arial"/>
        </w:rPr>
        <w:t>Heranwachsende (12 bis 16/18 Jahre [je nach Region])</w:t>
      </w:r>
    </w:p>
    <w:p w:rsidR="00952E1F" w:rsidRPr="00952E1F" w:rsidRDefault="00952E1F" w:rsidP="00952E1F">
      <w:pPr>
        <w:rPr>
          <w:rFonts w:cs="Arial"/>
          <w:sz w:val="22"/>
        </w:rPr>
      </w:pPr>
      <w:r>
        <w:rPr>
          <w:sz w:val="22"/>
          <w:rFonts w:cs="Arial"/>
        </w:rPr>
        <w:t>Vor der Aufnahme von Kindern in klinische Studien müssen Unbedenklichkeitsdaten aus Studien an Erwachsenen vorliegen und ausgewertet worden sein. Studien unter Beteiligung von Kindern werden üblicherweise so konzipiert, dass zu Beginn ältere Kinder aufgenommen werden, bevor die Studie im weiteren Verlauf auf jüngere Kinder und dann auf Kleinstkinder ausgedehnt wird.</w:t>
      </w:r>
    </w:p>
    <w:p w:rsidR="00952E1F" w:rsidRPr="00952E1F" w:rsidRDefault="00952E1F" w:rsidP="00952E1F">
      <w:pPr>
        <w:rPr>
          <w:rFonts w:cs="Arial"/>
          <w:sz w:val="22"/>
        </w:rPr>
      </w:pPr>
      <w:r>
        <w:rPr>
          <w:sz w:val="22"/>
          <w:rFonts w:cs="Arial"/>
        </w:rPr>
        <w:t>Arzneimittelentwickelnde Einrichtungen müssen frühzeitig das obligatorische pädiatrische Prüfkonzept einreichen, um sicherzustellen, dass das Arzneimittel sachgerecht für Kinder entwickelt werden kann.</w:t>
      </w:r>
    </w:p>
    <w:p w:rsidR="00952E1F" w:rsidRPr="00952E1F" w:rsidRDefault="00952E1F" w:rsidP="00952E1F">
      <w:pPr>
        <w:rPr>
          <w:rFonts w:cs="Arial"/>
          <w:b/>
          <w:sz w:val="22"/>
        </w:rPr>
      </w:pPr>
    </w:p>
    <w:p w:rsidR="00952E1F" w:rsidRPr="00952E1F" w:rsidRDefault="00952E1F" w:rsidP="00952E1F">
      <w:pPr>
        <w:rPr>
          <w:rFonts w:cs="Arial"/>
          <w:b/>
          <w:sz w:val="22"/>
        </w:rPr>
      </w:pPr>
      <w:r>
        <w:rPr>
          <w:b/>
          <w:sz w:val="22"/>
          <w:rFonts w:cs="Arial"/>
        </w:rPr>
        <w:t>Ethnische Untergruppen</w:t>
      </w:r>
    </w:p>
    <w:p w:rsidR="00952E1F" w:rsidRPr="00952E1F" w:rsidRDefault="00952E1F" w:rsidP="00952E1F">
      <w:pPr>
        <w:rPr>
          <w:rFonts w:cs="Arial"/>
          <w:sz w:val="22"/>
        </w:rPr>
      </w:pPr>
      <w:r>
        <w:rPr>
          <w:sz w:val="22"/>
          <w:rFonts w:cs="Arial"/>
        </w:rPr>
        <w:t xml:space="preserve">Viele Arzneimittel weisen bei Menschen in unterschiedlichen Regionen vergleichbare Eigenschaften und Wirkungen auf, jedoch müssen diese Eigenschaften vollumfänglich verstanden werden. Unterschiede in ethnisch bedingten Faktoren </w:t>
      </w:r>
      <w:r>
        <w:rPr>
          <w:b/>
          <w:bCs/>
          <w:sz w:val="22"/>
          <w:rFonts w:cs="Arial"/>
        </w:rPr>
        <w:t>könnten</w:t>
      </w:r>
      <w:r>
        <w:rPr>
          <w:sz w:val="22"/>
          <w:rFonts w:cs="Arial"/>
        </w:rPr>
        <w:t xml:space="preserve"> Auswirkungen auf die Wirksamkeit und/oder Unbedenklichkeit des Arzneimittels bei Anwendung an der Bevölkerung einer anderen Region haben.</w:t>
      </w:r>
    </w:p>
    <w:p w:rsidR="00952E1F" w:rsidRPr="00952E1F" w:rsidRDefault="00952E1F" w:rsidP="00952E1F">
      <w:pPr>
        <w:rPr>
          <w:rFonts w:cs="Arial"/>
          <w:sz w:val="22"/>
        </w:rPr>
      </w:pPr>
      <w:r>
        <w:rPr>
          <w:sz w:val="22"/>
          <w:rFonts w:cs="Arial"/>
        </w:rPr>
        <w:t>Möglicherweise bedarf es der Erhebung einer begrenzten Menge klinischer Daten, um die Unterschiede zwischen zwei oder mehr Regionen in dieser Hinsicht zu „überbrücken“.</w:t>
      </w:r>
    </w:p>
    <w:p w:rsidR="00952E1F" w:rsidRPr="00952E1F" w:rsidRDefault="00952E1F" w:rsidP="00952E1F">
      <w:pPr>
        <w:rPr>
          <w:rFonts w:cs="Arial"/>
          <w:sz w:val="22"/>
        </w:rPr>
      </w:pPr>
      <w:r>
        <w:rPr>
          <w:sz w:val="22"/>
          <w:rFonts w:cs="Arial"/>
        </w:rPr>
        <w:t>Pharmakokinetik, Pharmakodynamik und therapeutische Effekte könnten von ethnischen Faktoren beeinflusst werden. Die Festlegung, welcher Art derartige „Überbrückungsstudien“ für eine neue Region sein müssen, erfordert ein tieferes Verständnis der Eigenschaften eines Arzneimittels. Die Art des jeweiligen Arzneimittels, seine Indikation sowie das Alter und das Geschlecht eines Patienten können Auswirkungen darauf haben, wie ethnische Faktoren den Effekt eines Arzneimittels beeinflussen. Ein Beispiel hierfür ist die persistierende Laktoseintoleranz, die bei der europäischen und bei der chinesischen Population deutlich unterschiedlich stark vertreten ist.</w:t>
      </w:r>
    </w:p>
    <w:p w:rsidR="00952E1F" w:rsidRPr="00952E1F" w:rsidRDefault="00952E1F" w:rsidP="00952E1F">
      <w:pPr>
        <w:rPr>
          <w:rFonts w:cs="Arial"/>
          <w:sz w:val="22"/>
        </w:rPr>
      </w:pPr>
    </w:p>
    <w:p w:rsidR="00952E1F" w:rsidRPr="00952E1F" w:rsidRDefault="00952E1F" w:rsidP="00952E1F">
      <w:pPr>
        <w:pStyle w:val="ThingHeading"/>
        <w:numPr>
          <w:ilvl w:val="0"/>
          <w:numId w:val="0"/>
        </w:numPr>
        <w:ind w:left="360" w:hanging="360"/>
        <w:rPr>
          <w:rFonts w:ascii="Arial" w:hAnsi="Arial" w:cs="Arial"/>
          <w:b/>
          <w:color w:val="auto"/>
          <w:sz w:val="22"/>
          <w:szCs w:val="22"/>
        </w:rPr>
      </w:pPr>
      <w:r>
        <w:rPr>
          <w:b/>
          <w:color w:val="auto"/>
          <w:sz w:val="22"/>
          <w:szCs w:val="22"/>
          <w:rFonts w:ascii="Arial" w:hAnsi="Arial" w:cs="Arial"/>
        </w:rPr>
        <w:t>4. Wie kann ich mich weiter informieren?</w:t>
      </w:r>
    </w:p>
    <w:p w:rsidR="00952E1F" w:rsidRPr="00952E1F" w:rsidRDefault="00952E1F" w:rsidP="00952E1F">
      <w:pPr>
        <w:rPr>
          <w:rFonts w:cs="Arial"/>
          <w:b/>
          <w:sz w:val="22"/>
        </w:rPr>
      </w:pPr>
      <w:r>
        <w:rPr>
          <w:b/>
          <w:sz w:val="22"/>
          <w:rFonts w:cs="Arial"/>
        </w:rPr>
        <w:t>Weiterführende Rechtsvorschriften und Leitlinien</w:t>
      </w:r>
    </w:p>
    <w:p w:rsidR="00952E1F" w:rsidRPr="00952E1F" w:rsidRDefault="00952E1F" w:rsidP="00952E1F">
      <w:pPr>
        <w:numPr>
          <w:ilvl w:val="0"/>
          <w:numId w:val="14"/>
        </w:numPr>
        <w:spacing w:before="0"/>
        <w:contextualSpacing w:val="0"/>
        <w:rPr>
          <w:rFonts w:cs="Arial"/>
          <w:sz w:val="22"/>
        </w:rPr>
      </w:pPr>
      <w:r>
        <w:rPr>
          <w:sz w:val="22"/>
          <w:rFonts w:cs="Arial"/>
        </w:rPr>
        <w:t xml:space="preserve">Richtlinie 2001/20/EG des Europäischen Parlaments und des Rates: </w:t>
      </w:r>
      <w:r>
        <w:rPr>
          <w:sz w:val="22"/>
          <w:rFonts w:cs="Arial"/>
        </w:rPr>
        <w:br/>
      </w:r>
      <w:hyperlink r:id="rId7" w:history="1">
        <w:r>
          <w:rPr>
            <w:rStyle w:val="Hyperlink"/>
            <w:sz w:val="22"/>
            <w:rFonts w:cs="Arial"/>
          </w:rPr>
          <w:t>http</w:t>
        </w:r>
      </w:hyperlink>
      <w:hyperlink r:id="rId8" w:history="1">
        <w:r>
          <w:rPr>
            <w:rStyle w:val="Hyperlink"/>
            <w:sz w:val="22"/>
            <w:rFonts w:cs="Arial"/>
          </w:rPr>
          <w:t>://</w:t>
        </w:r>
      </w:hyperlink>
      <w:hyperlink r:id="rId9" w:history="1">
        <w:r>
          <w:rPr>
            <w:rStyle w:val="Hyperlink"/>
            <w:sz w:val="22"/>
            <w:rFonts w:cs="Arial"/>
          </w:rPr>
          <w:t>eur-lex.europa.eu/LexUriServ/LexUriServ.do?uri=OJ:L:2001:121:0034:0044:de:PDF</w:t>
        </w:r>
      </w:hyperlink>
    </w:p>
    <w:p w:rsidR="00952E1F" w:rsidRPr="00952E1F" w:rsidRDefault="00952E1F" w:rsidP="00952E1F">
      <w:pPr>
        <w:numPr>
          <w:ilvl w:val="0"/>
          <w:numId w:val="14"/>
        </w:numPr>
        <w:spacing w:before="0"/>
        <w:contextualSpacing w:val="0"/>
        <w:rPr>
          <w:rFonts w:cs="Arial"/>
          <w:sz w:val="22"/>
        </w:rPr>
      </w:pPr>
      <w:r>
        <w:rPr>
          <w:sz w:val="22"/>
          <w:rFonts w:cs="Arial"/>
        </w:rPr>
        <w:t>ICH-Leitlinie M3 (R2) für präklinische Unbedenklichkeitsstudien zur Durchführung von klinischen Prüfungen am Menschen und zur Zulassung von pharmazeutischen Erzeugnissen:</w:t>
      </w:r>
      <w:r>
        <w:rPr>
          <w:sz w:val="22"/>
          <w:rFonts w:cs="Arial"/>
        </w:rPr>
        <w:br/>
      </w:r>
      <w:hyperlink r:id="rId10" w:history="1">
        <w:r>
          <w:rPr>
            <w:rStyle w:val="Hyperlink"/>
            <w:sz w:val="22"/>
            <w:rFonts w:cs="Arial"/>
          </w:rPr>
          <w:t>http://www.ema.europa.eu/docs/en_GB/document_library/Scientific_guideline/2009/09/WC500002720.pdf</w:t>
        </w:r>
      </w:hyperlink>
    </w:p>
    <w:p w:rsidR="00952E1F" w:rsidRPr="00952E1F" w:rsidRDefault="00952E1F" w:rsidP="00952E1F">
      <w:pPr>
        <w:numPr>
          <w:ilvl w:val="0"/>
          <w:numId w:val="14"/>
        </w:numPr>
        <w:spacing w:before="0"/>
        <w:contextualSpacing w:val="0"/>
        <w:rPr>
          <w:rStyle w:val="Hyperlink"/>
          <w:rFonts w:cs="Arial"/>
          <w:sz w:val="22"/>
        </w:rPr>
      </w:pPr>
      <w:r>
        <w:rPr>
          <w:sz w:val="22"/>
          <w:rFonts w:cs="Arial"/>
        </w:rPr>
        <w:t>ICH-Thema E5 (R1) – Leitfaden zur Berücksichtigung ethnischer Faktoren bei der Beurteilung der Annehmbarkeit klinischer Daten aus einer fremden Region (CPMP/ICH/289/95):</w:t>
      </w:r>
      <w:r>
        <w:rPr>
          <w:sz w:val="22"/>
          <w:rFonts w:cs="Arial"/>
        </w:rPr>
        <w:br/>
      </w:r>
      <w:r>
        <w:rPr>
          <w:sz w:val="22"/>
          <w:rFonts w:cs="Arial"/>
        </w:rPr>
        <w:br/>
      </w:r>
      <w:hyperlink r:id="rId11" w:history="1"/>
      <w:hyperlink r:id="rId12" w:history="1"/>
      <w:hyperlink r:id="rId13" w:history="1">
        <w:r>
          <w:rPr>
            <w:rStyle w:val="Hyperlink"/>
            <w:sz w:val="22"/>
            <w:rFonts w:cs="Arial"/>
          </w:rPr>
          <w:t>http://www.ema.europa.eu/docs/en_GB/document_library/Scientific_guideline/2009/09/WC500002842.pdf</w:t>
        </w:r>
      </w:hyperlink>
    </w:p>
    <w:p w:rsidR="00952E1F" w:rsidRPr="00952E1F" w:rsidRDefault="00952E1F" w:rsidP="00952E1F">
      <w:pPr>
        <w:numPr>
          <w:ilvl w:val="0"/>
          <w:numId w:val="14"/>
        </w:numPr>
        <w:spacing w:before="0"/>
        <w:contextualSpacing w:val="0"/>
        <w:rPr>
          <w:rStyle w:val="Hyperlink"/>
          <w:rFonts w:cs="Arial"/>
          <w:sz w:val="22"/>
        </w:rPr>
      </w:pPr>
      <w:r>
        <w:rPr>
          <w:sz w:val="22"/>
          <w:rFonts w:cs="Arial"/>
        </w:rPr>
        <w:t>ICH-Thema E 6 (R1) – Leitlinie zur guten klinischen Praxis:</w:t>
      </w:r>
      <w:r>
        <w:rPr>
          <w:sz w:val="22"/>
          <w:rFonts w:cs="Arial"/>
        </w:rPr>
        <w:br/>
      </w:r>
      <w:hyperlink r:id="rId14" w:history="1"/>
      <w:hyperlink r:id="rId15" w:history="1">
        <w:r>
          <w:rPr>
            <w:rStyle w:val="Hyperlink"/>
            <w:sz w:val="22"/>
            <w:rFonts w:cs="Arial"/>
          </w:rPr>
          <w:t>http://www.ema.europa.eu/docs/en_GB/document_library/Scientific_guideline/2009/09/WC500002874.pdf</w:t>
        </w:r>
      </w:hyperlink>
    </w:p>
    <w:p w:rsidR="00952E1F" w:rsidRPr="00952E1F" w:rsidRDefault="00952E1F" w:rsidP="00952E1F">
      <w:pPr>
        <w:numPr>
          <w:ilvl w:val="0"/>
          <w:numId w:val="14"/>
        </w:numPr>
        <w:spacing w:before="0"/>
        <w:contextualSpacing w:val="0"/>
        <w:rPr>
          <w:rFonts w:cs="Arial"/>
          <w:sz w:val="22"/>
        </w:rPr>
      </w:pPr>
      <w:r>
        <w:rPr>
          <w:sz w:val="22"/>
          <w:rFonts w:cs="Arial"/>
        </w:rPr>
        <w:t>ICH-Thema E 7 – Leitfaden für unterstützende Untersuchungen an speziellen Bevölkerungsgruppen: Ältere Bevölkerung</w:t>
      </w:r>
      <w:r>
        <w:rPr>
          <w:sz w:val="22"/>
          <w:rFonts w:cs="Arial"/>
        </w:rPr>
        <w:br/>
      </w:r>
      <w:r>
        <w:rPr>
          <w:sz w:val="22"/>
          <w:rFonts w:cs="Arial"/>
        </w:rPr>
        <w:t xml:space="preserve"> Geriatrics (CPMP/ICH/379/95)</w:t>
      </w:r>
      <w:r>
        <w:rPr>
          <w:sz w:val="22"/>
          <w:rFonts w:cs="Arial"/>
        </w:rPr>
        <w:br/>
      </w:r>
      <w:hyperlink r:id="rId16" w:history="1">
        <w:r>
          <w:rPr>
            <w:rStyle w:val="Hyperlink"/>
            <w:sz w:val="22"/>
            <w:rFonts w:cs="Arial"/>
          </w:rPr>
          <w:t>http://www.ema.europa.eu/docs/en_GB/document_library/Scientific_guideline/2009/09/WC500002875.pdf</w:t>
        </w:r>
      </w:hyperlink>
    </w:p>
    <w:p w:rsidR="00952E1F" w:rsidRDefault="00952E1F" w:rsidP="00952E1F">
      <w:pPr>
        <w:numPr>
          <w:ilvl w:val="0"/>
          <w:numId w:val="14"/>
        </w:numPr>
        <w:spacing w:before="0"/>
        <w:contextualSpacing w:val="0"/>
        <w:rPr>
          <w:rFonts w:cs="Arial"/>
          <w:sz w:val="22"/>
        </w:rPr>
      </w:pPr>
      <w:r>
        <w:rPr>
          <w:sz w:val="22"/>
          <w:rFonts w:cs="Arial"/>
        </w:rPr>
        <w:t>ICH-Thema E 8 – Leitfaden zu allgemeinen Erwägungen für klinische Studien (CPMP/ICH/291/95):</w:t>
      </w:r>
      <w:r>
        <w:rPr>
          <w:sz w:val="22"/>
          <w:rFonts w:cs="Arial"/>
        </w:rPr>
        <w:br/>
      </w:r>
      <w:r>
        <w:rPr>
          <w:sz w:val="22"/>
          <w:rFonts w:cs="Arial"/>
        </w:rPr>
        <w:br/>
      </w:r>
      <w:hyperlink r:id="rId17" w:history="1">
        <w:r>
          <w:rPr>
            <w:rStyle w:val="Hyperlink"/>
            <w:sz w:val="22"/>
            <w:rFonts w:cs="Arial"/>
          </w:rPr>
          <w:t>http://www.ema.europa.eu/docs/en_GB/document_library/Scientific_guideline/2009/09/WC500002877.pdf</w:t>
        </w:r>
      </w:hyperlink>
    </w:p>
    <w:p w:rsidR="00952E1F" w:rsidRPr="00952E1F" w:rsidRDefault="00952E1F" w:rsidP="00952E1F">
      <w:pPr>
        <w:numPr>
          <w:ilvl w:val="0"/>
          <w:numId w:val="14"/>
        </w:numPr>
        <w:spacing w:before="0"/>
        <w:contextualSpacing w:val="0"/>
        <w:rPr>
          <w:rFonts w:cs="Arial"/>
          <w:sz w:val="22"/>
        </w:rPr>
      </w:pPr>
      <w:r>
        <w:rPr>
          <w:sz w:val="22"/>
          <w:rFonts w:cs="Arial"/>
        </w:rPr>
        <w:t>ICH-Thema E 11 – Leitfaden zur klinischen Prüfung von pharmazeutischen Erzeugnissen an Kindern (CPMP/ICH/2711/99):</w:t>
      </w:r>
      <w:r>
        <w:rPr>
          <w:sz w:val="22"/>
          <w:rFonts w:cs="Arial"/>
        </w:rPr>
        <w:br/>
      </w:r>
      <w:r>
        <w:rPr>
          <w:sz w:val="22"/>
          <w:rFonts w:cs="Arial"/>
        </w:rPr>
        <w:br/>
      </w:r>
      <w:hyperlink r:id="rId18" w:history="1">
        <w:r>
          <w:rPr>
            <w:rStyle w:val="Hyperlink"/>
            <w:sz w:val="22"/>
            <w:rFonts w:cs="Arial"/>
          </w:rPr>
          <w:t>http://www.ema.europa.eu/docs/en_GB/document_library/Scientific_guideline/2009/09/WC500002926.pdf</w:t>
        </w:r>
      </w:hyperlink>
    </w:p>
    <w:sectPr w:rsidR="00952E1F" w:rsidRPr="00952E1F" w:rsidSect="008F1493">
      <w:headerReference w:type="default" r:id="rId19"/>
      <w:footerReference w:type="default" r:id="rId20"/>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4B2" w:rsidRDefault="000854B2" w:rsidP="00527DB1">
      <w:pPr>
        <w:spacing w:before="0"/>
      </w:pPr>
      <w:r>
        <w:separator/>
      </w:r>
    </w:p>
  </w:endnote>
  <w:endnote w:type="continuationSeparator" w:id="0">
    <w:p w:rsidR="000854B2" w:rsidRDefault="000854B2" w:rsidP="00527DB1">
      <w:pPr>
        <w:spacing w:before="0"/>
      </w:pPr>
      <w:r>
        <w:continuationSeparator/>
      </w:r>
    </w:p>
  </w:endnote>
  <w:endnote w:type="continuationNotice" w:id="1">
    <w:p w:rsidR="000854B2" w:rsidRDefault="000854B2">
      <w:pPr>
        <w:spacing w:befor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9B" w:rsidRDefault="00EA1BBA" w:rsidP="00FA019B">
    <w:pPr>
      <w:pStyle w:val="Footer"/>
      <w:jc w:val="right"/>
    </w:pPr>
    <w:r>
      <w:drawing>
        <wp:anchor distT="0" distB="0" distL="114300" distR="114300" simplePos="0" relativeHeight="251657728" behindDoc="0" locked="0" layoutInCell="1" allowOverlap="1">
          <wp:simplePos x="0" y="0"/>
          <wp:positionH relativeFrom="column">
            <wp:posOffset>-53975</wp:posOffset>
          </wp:positionH>
          <wp:positionV relativeFrom="paragraph">
            <wp:posOffset>-14605</wp:posOffset>
          </wp:positionV>
          <wp:extent cx="770890" cy="270510"/>
          <wp:effectExtent l="19050" t="0" r="0" b="0"/>
          <wp:wrapNone/>
          <wp:docPr id="6" name="Picture 1" descr="Description: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y-nc-sa.png"/>
                  <pic:cNvPicPr>
                    <a:picLocks noChangeAspect="1" noChangeArrowheads="1"/>
                  </pic:cNvPicPr>
                </pic:nvPicPr>
                <pic:blipFill>
                  <a:blip r:embed="rId1"/>
                  <a:srcRect/>
                  <a:stretch>
                    <a:fillRect/>
                  </a:stretch>
                </pic:blipFill>
                <pic:spPr bwMode="auto">
                  <a:xfrm>
                    <a:off x="0" y="0"/>
                    <a:ext cx="770890" cy="270510"/>
                  </a:xfrm>
                  <a:prstGeom prst="rect">
                    <a:avLst/>
                  </a:prstGeom>
                  <a:noFill/>
                  <a:ln w="9525">
                    <a:noFill/>
                    <a:miter lim="800000"/>
                    <a:headEnd/>
                    <a:tailEnd/>
                  </a:ln>
                </pic:spPr>
              </pic:pic>
            </a:graphicData>
          </a:graphic>
        </wp:anchor>
      </w:drawing>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4B2" w:rsidRDefault="000854B2" w:rsidP="00527DB1">
      <w:pPr>
        <w:spacing w:before="0"/>
      </w:pPr>
      <w:r>
        <w:separator/>
      </w:r>
    </w:p>
  </w:footnote>
  <w:footnote w:type="continuationSeparator" w:id="0">
    <w:p w:rsidR="000854B2" w:rsidRDefault="000854B2" w:rsidP="00527DB1">
      <w:pPr>
        <w:spacing w:before="0"/>
      </w:pPr>
      <w:r>
        <w:continuationSeparator/>
      </w:r>
    </w:p>
  </w:footnote>
  <w:footnote w:type="continuationNotice" w:id="1">
    <w:p w:rsidR="000854B2" w:rsidRDefault="000854B2">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35" w:rsidRDefault="00081CD0" w:rsidP="00FA019B">
    <w:pPr>
      <w:pStyle w:val="Header"/>
      <w:tabs>
        <w:tab w:val="clear" w:pos="9072"/>
        <w:tab w:val="left" w:pos="1279"/>
        <w:tab w:val="right" w:pos="9070"/>
      </w:tabs>
    </w:pPr>
    <w:r>
      <w:pict>
        <v:shapetype id="_x0000_t202" coordsize="21600,21600" o:spt="202" path="m,l,21600r21600,l21600,xe">
          <v:stroke joinstyle="miter"/>
          <v:path gradientshapeok="t" o:connecttype="rect"/>
        </v:shapetype>
        <v:shape id="_x0000_s2053" type="#_x0000_t202" style="position:absolute;margin-left:95pt;margin-top:34.75pt;width:109.35pt;height:19.05pt;z-index:251658752" filled="f" stroked="f">
          <v:textbox>
            <w:txbxContent>
              <w:p w:rsidR="00ED1139" w:rsidRPr="00047E36" w:rsidRDefault="00ED1139" w:rsidP="00ED1139">
                <w:pPr>
                  <w:pStyle w:val="Footer"/>
                </w:pPr>
                <w:r>
                  <w:t>http://www.eupati.eu</w:t>
                </w:r>
              </w:p>
              <w:p w:rsidR="00ED1139" w:rsidRDefault="00ED1139"/>
            </w:txbxContent>
          </v:textbox>
        </v:shape>
      </w:pict>
    </w:r>
    <w:r>
      <w:pict>
        <v:shape id="_x0000_s2051" type="#_x0000_t202" style="position:absolute;margin-left:94.4pt;margin-top:1.65pt;width:184.2pt;height:36.85pt;z-index:251656704" filled="f" stroked="f">
          <v:textbox style="mso-next-textbox:#_x0000_s2051">
            <w:txbxContent>
              <w:p w:rsidR="00FA019B" w:rsidRPr="00ED1139" w:rsidRDefault="00FA019B" w:rsidP="00ED1139">
                <w:pPr>
                  <w:rPr>
                    <w:color w:val="551A8B"/>
                    <w:sz w:val="24"/>
                    <w:szCs w:val="12"/>
                    <w:lang w:val="en-IE"/>
                  </w:rPr>
                </w:pPr>
                <w:r>
                  <w:rPr>
                    <w:sz w:val="24"/>
                    <w:szCs w:val="12"/>
                  </w:rPr>
                  <w:t>Europäische</w:t>
                </w:r>
                <w:r>
                  <w:rPr>
                    <w:color w:val="551A8B"/>
                    <w:sz w:val="24"/>
                    <w:szCs w:val="12"/>
                  </w:rPr>
                  <w:t xml:space="preserve"> </w:t>
                </w:r>
                <w:r>
                  <w:rPr>
                    <w:color w:val="022F68"/>
                    <w:sz w:val="24"/>
                    <w:szCs w:val="12"/>
                  </w:rPr>
                  <w:t>Patientenakademie</w:t>
                </w:r>
                <w:r>
                  <w:rPr>
                    <w:color w:val="551A8B"/>
                    <w:sz w:val="24"/>
                    <w:szCs w:val="12"/>
                  </w:rPr>
                  <w:t xml:space="preserve"> </w:t>
                </w:r>
                <w:r>
                  <w:rPr>
                    <w:sz w:val="24"/>
                    <w:szCs w:val="12"/>
                  </w:rPr>
                  <w:t>zu Therapeutischen Innovationen</w:t>
                </w:r>
              </w:p>
              <w:p w:rsidR="00FA019B" w:rsidRPr="00ED1139" w:rsidRDefault="00FA019B" w:rsidP="00ED1139">
                <w:pPr>
                  <w:rPr>
                    <w:sz w:val="24"/>
                    <w:szCs w:val="12"/>
                  </w:rPr>
                </w:pPr>
              </w:p>
            </w:txbxContent>
          </v:textbox>
        </v:shape>
      </w:pict>
    </w:r>
    <w:r>
      <w:drawing>
        <wp:inline distT="0" distB="0" distL="0" distR="0">
          <wp:extent cx="1057275" cy="590550"/>
          <wp:effectExtent l="19050" t="0" r="9525" b="0"/>
          <wp:docPr id="1" name="Bild 1" descr="Description: 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Beschreibung: EUPATI-Logo-web-update"/>
                  <pic:cNvPicPr>
                    <a:picLocks noChangeAspect="1" noChangeArrowheads="1"/>
                  </pic:cNvPicPr>
                </pic:nvPicPr>
                <pic:blipFill>
                  <a:blip r:embed="rId1"/>
                  <a:srcRect b="20216"/>
                  <a:stretch>
                    <a:fillRect/>
                  </a:stretch>
                </pic:blipFill>
                <pic:spPr bwMode="auto">
                  <a:xfrm>
                    <a:off x="0" y="0"/>
                    <a:ext cx="1057275" cy="590550"/>
                  </a:xfrm>
                  <a:prstGeom prst="rect">
                    <a:avLst/>
                  </a:prstGeom>
                  <a:noFill/>
                  <a:ln w="9525">
                    <a:noFill/>
                    <a:miter lim="800000"/>
                    <a:headEnd/>
                    <a:tailEnd/>
                  </a:ln>
                </pic:spPr>
              </pic:pic>
            </a:graphicData>
          </a:graphic>
        </wp:inline>
      </w:drawing>
    </w:r>
    <w:r>
      <w:tab/>
      <w:tab/>
      <w:tab/>
    </w:r>
  </w:p>
  <w:p w:rsidR="001C1135" w:rsidRDefault="001C1135">
    <w:pPr>
      <w:pStyle w:val="Header"/>
    </w:pPr>
  </w:p>
  <w:p w:rsidR="00047E36" w:rsidRDefault="00047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78686F"/>
    <w:multiLevelType w:val="hybridMultilevel"/>
    <w:tmpl w:val="8350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3B79F4"/>
    <w:multiLevelType w:val="hybridMultilevel"/>
    <w:tmpl w:val="BE52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133D6D"/>
    <w:multiLevelType w:val="hybridMultilevel"/>
    <w:tmpl w:val="9BD821C6"/>
    <w:lvl w:ilvl="0" w:tplc="2A38F960">
      <w:start w:val="200"/>
      <w:numFmt w:val="bullet"/>
      <w:lvlText w:val=""/>
      <w:lvlJc w:val="left"/>
      <w:pPr>
        <w:ind w:left="1060" w:hanging="70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E690D0C"/>
    <w:multiLevelType w:val="hybridMultilevel"/>
    <w:tmpl w:val="446EBA92"/>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9">
    <w:nsid w:val="44AE1C9A"/>
    <w:multiLevelType w:val="hybridMultilevel"/>
    <w:tmpl w:val="C99E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CB6C78"/>
    <w:multiLevelType w:val="hybridMultilevel"/>
    <w:tmpl w:val="30689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7F61A0E" w:tentative="1">
      <w:start w:val="1"/>
      <w:numFmt w:val="bullet"/>
      <w:lvlText w:val="•"/>
      <w:lvlJc w:val="left"/>
      <w:pPr>
        <w:tabs>
          <w:tab w:val="num" w:pos="2160"/>
        </w:tabs>
        <w:ind w:left="2160" w:hanging="360"/>
      </w:pPr>
      <w:rPr>
        <w:rFonts w:ascii="Arial" w:hAnsi="Arial" w:hint="default"/>
      </w:rPr>
    </w:lvl>
    <w:lvl w:ilvl="3" w:tplc="03D2EA88" w:tentative="1">
      <w:start w:val="1"/>
      <w:numFmt w:val="bullet"/>
      <w:lvlText w:val="•"/>
      <w:lvlJc w:val="left"/>
      <w:pPr>
        <w:tabs>
          <w:tab w:val="num" w:pos="2880"/>
        </w:tabs>
        <w:ind w:left="2880" w:hanging="360"/>
      </w:pPr>
      <w:rPr>
        <w:rFonts w:ascii="Arial" w:hAnsi="Arial" w:hint="default"/>
      </w:rPr>
    </w:lvl>
    <w:lvl w:ilvl="4" w:tplc="FA6A44D6" w:tentative="1">
      <w:start w:val="1"/>
      <w:numFmt w:val="bullet"/>
      <w:lvlText w:val="•"/>
      <w:lvlJc w:val="left"/>
      <w:pPr>
        <w:tabs>
          <w:tab w:val="num" w:pos="3600"/>
        </w:tabs>
        <w:ind w:left="3600" w:hanging="360"/>
      </w:pPr>
      <w:rPr>
        <w:rFonts w:ascii="Arial" w:hAnsi="Arial" w:hint="default"/>
      </w:rPr>
    </w:lvl>
    <w:lvl w:ilvl="5" w:tplc="2FCAAF10" w:tentative="1">
      <w:start w:val="1"/>
      <w:numFmt w:val="bullet"/>
      <w:lvlText w:val="•"/>
      <w:lvlJc w:val="left"/>
      <w:pPr>
        <w:tabs>
          <w:tab w:val="num" w:pos="4320"/>
        </w:tabs>
        <w:ind w:left="4320" w:hanging="360"/>
      </w:pPr>
      <w:rPr>
        <w:rFonts w:ascii="Arial" w:hAnsi="Arial" w:hint="default"/>
      </w:rPr>
    </w:lvl>
    <w:lvl w:ilvl="6" w:tplc="67767B56" w:tentative="1">
      <w:start w:val="1"/>
      <w:numFmt w:val="bullet"/>
      <w:lvlText w:val="•"/>
      <w:lvlJc w:val="left"/>
      <w:pPr>
        <w:tabs>
          <w:tab w:val="num" w:pos="5040"/>
        </w:tabs>
        <w:ind w:left="5040" w:hanging="360"/>
      </w:pPr>
      <w:rPr>
        <w:rFonts w:ascii="Arial" w:hAnsi="Arial" w:hint="default"/>
      </w:rPr>
    </w:lvl>
    <w:lvl w:ilvl="7" w:tplc="F8E8A3C8" w:tentative="1">
      <w:start w:val="1"/>
      <w:numFmt w:val="bullet"/>
      <w:lvlText w:val="•"/>
      <w:lvlJc w:val="left"/>
      <w:pPr>
        <w:tabs>
          <w:tab w:val="num" w:pos="5760"/>
        </w:tabs>
        <w:ind w:left="5760" w:hanging="360"/>
      </w:pPr>
      <w:rPr>
        <w:rFonts w:ascii="Arial" w:hAnsi="Arial" w:hint="default"/>
      </w:rPr>
    </w:lvl>
    <w:lvl w:ilvl="8" w:tplc="B6B26D90" w:tentative="1">
      <w:start w:val="1"/>
      <w:numFmt w:val="bullet"/>
      <w:lvlText w:val="•"/>
      <w:lvlJc w:val="left"/>
      <w:pPr>
        <w:tabs>
          <w:tab w:val="num" w:pos="6480"/>
        </w:tabs>
        <w:ind w:left="6480" w:hanging="360"/>
      </w:pPr>
      <w:rPr>
        <w:rFonts w:ascii="Arial" w:hAnsi="Arial" w:hint="default"/>
      </w:rPr>
    </w:lvl>
  </w:abstractNum>
  <w:abstractNum w:abstractNumId="11">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551539"/>
    <w:multiLevelType w:val="hybridMultilevel"/>
    <w:tmpl w:val="E3C6CBD6"/>
    <w:lvl w:ilvl="0" w:tplc="8AF0B9F4">
      <w:start w:val="1"/>
      <w:numFmt w:val="decimal"/>
      <w:pStyle w:val="Thing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D92AF8"/>
    <w:multiLevelType w:val="multilevel"/>
    <w:tmpl w:val="D6309F10"/>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16">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24F7F34"/>
    <w:multiLevelType w:val="hybridMultilevel"/>
    <w:tmpl w:val="88A0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542927"/>
    <w:multiLevelType w:val="hybridMultilevel"/>
    <w:tmpl w:val="6FEE6454"/>
    <w:lvl w:ilvl="0" w:tplc="6BD4011A">
      <w:start w:val="1"/>
      <w:numFmt w:val="bullet"/>
      <w:lvlText w:val="•"/>
      <w:lvlJc w:val="left"/>
      <w:pPr>
        <w:tabs>
          <w:tab w:val="num" w:pos="360"/>
        </w:tabs>
        <w:ind w:left="360" w:hanging="360"/>
      </w:pPr>
      <w:rPr>
        <w:rFonts w:ascii="Arial" w:hAnsi="Arial" w:hint="default"/>
        <w:color w:val="auto"/>
      </w:rPr>
    </w:lvl>
    <w:lvl w:ilvl="1" w:tplc="B67412F0" w:tentative="1">
      <w:start w:val="1"/>
      <w:numFmt w:val="bullet"/>
      <w:lvlText w:val="•"/>
      <w:lvlJc w:val="left"/>
      <w:pPr>
        <w:tabs>
          <w:tab w:val="num" w:pos="1080"/>
        </w:tabs>
        <w:ind w:left="1080" w:hanging="360"/>
      </w:pPr>
      <w:rPr>
        <w:rFonts w:ascii="Arial" w:hAnsi="Arial" w:hint="default"/>
      </w:rPr>
    </w:lvl>
    <w:lvl w:ilvl="2" w:tplc="F16EBB60" w:tentative="1">
      <w:start w:val="1"/>
      <w:numFmt w:val="bullet"/>
      <w:lvlText w:val="•"/>
      <w:lvlJc w:val="left"/>
      <w:pPr>
        <w:tabs>
          <w:tab w:val="num" w:pos="1800"/>
        </w:tabs>
        <w:ind w:left="1800" w:hanging="360"/>
      </w:pPr>
      <w:rPr>
        <w:rFonts w:ascii="Arial" w:hAnsi="Arial" w:hint="default"/>
      </w:rPr>
    </w:lvl>
    <w:lvl w:ilvl="3" w:tplc="C7F8025A" w:tentative="1">
      <w:start w:val="1"/>
      <w:numFmt w:val="bullet"/>
      <w:lvlText w:val="•"/>
      <w:lvlJc w:val="left"/>
      <w:pPr>
        <w:tabs>
          <w:tab w:val="num" w:pos="2520"/>
        </w:tabs>
        <w:ind w:left="2520" w:hanging="360"/>
      </w:pPr>
      <w:rPr>
        <w:rFonts w:ascii="Arial" w:hAnsi="Arial" w:hint="default"/>
      </w:rPr>
    </w:lvl>
    <w:lvl w:ilvl="4" w:tplc="950A06FA" w:tentative="1">
      <w:start w:val="1"/>
      <w:numFmt w:val="bullet"/>
      <w:lvlText w:val="•"/>
      <w:lvlJc w:val="left"/>
      <w:pPr>
        <w:tabs>
          <w:tab w:val="num" w:pos="3240"/>
        </w:tabs>
        <w:ind w:left="3240" w:hanging="360"/>
      </w:pPr>
      <w:rPr>
        <w:rFonts w:ascii="Arial" w:hAnsi="Arial" w:hint="default"/>
      </w:rPr>
    </w:lvl>
    <w:lvl w:ilvl="5" w:tplc="E86623DA" w:tentative="1">
      <w:start w:val="1"/>
      <w:numFmt w:val="bullet"/>
      <w:lvlText w:val="•"/>
      <w:lvlJc w:val="left"/>
      <w:pPr>
        <w:tabs>
          <w:tab w:val="num" w:pos="3960"/>
        </w:tabs>
        <w:ind w:left="3960" w:hanging="360"/>
      </w:pPr>
      <w:rPr>
        <w:rFonts w:ascii="Arial" w:hAnsi="Arial" w:hint="default"/>
      </w:rPr>
    </w:lvl>
    <w:lvl w:ilvl="6" w:tplc="E9A895EE" w:tentative="1">
      <w:start w:val="1"/>
      <w:numFmt w:val="bullet"/>
      <w:lvlText w:val="•"/>
      <w:lvlJc w:val="left"/>
      <w:pPr>
        <w:tabs>
          <w:tab w:val="num" w:pos="4680"/>
        </w:tabs>
        <w:ind w:left="4680" w:hanging="360"/>
      </w:pPr>
      <w:rPr>
        <w:rFonts w:ascii="Arial" w:hAnsi="Arial" w:hint="default"/>
      </w:rPr>
    </w:lvl>
    <w:lvl w:ilvl="7" w:tplc="6D908942" w:tentative="1">
      <w:start w:val="1"/>
      <w:numFmt w:val="bullet"/>
      <w:lvlText w:val="•"/>
      <w:lvlJc w:val="left"/>
      <w:pPr>
        <w:tabs>
          <w:tab w:val="num" w:pos="5400"/>
        </w:tabs>
        <w:ind w:left="5400" w:hanging="360"/>
      </w:pPr>
      <w:rPr>
        <w:rFonts w:ascii="Arial" w:hAnsi="Arial" w:hint="default"/>
      </w:rPr>
    </w:lvl>
    <w:lvl w:ilvl="8" w:tplc="20769BA6" w:tentative="1">
      <w:start w:val="1"/>
      <w:numFmt w:val="bullet"/>
      <w:lvlText w:val="•"/>
      <w:lvlJc w:val="left"/>
      <w:pPr>
        <w:tabs>
          <w:tab w:val="num" w:pos="6120"/>
        </w:tabs>
        <w:ind w:left="6120" w:hanging="360"/>
      </w:pPr>
      <w:rPr>
        <w:rFonts w:ascii="Arial" w:hAnsi="Arial" w:hint="default"/>
      </w:rPr>
    </w:lvl>
  </w:abstractNum>
  <w:abstractNum w:abstractNumId="19">
    <w:nsid w:val="761553E4"/>
    <w:multiLevelType w:val="hybridMultilevel"/>
    <w:tmpl w:val="6F64B7E8"/>
    <w:lvl w:ilvl="0" w:tplc="3E04776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3"/>
  </w:num>
  <w:num w:numId="5">
    <w:abstractNumId w:val="6"/>
  </w:num>
  <w:num w:numId="6">
    <w:abstractNumId w:val="19"/>
  </w:num>
  <w:num w:numId="7">
    <w:abstractNumId w:val="11"/>
  </w:num>
  <w:num w:numId="8">
    <w:abstractNumId w:val="12"/>
  </w:num>
  <w:num w:numId="9">
    <w:abstractNumId w:val="13"/>
  </w:num>
  <w:num w:numId="10">
    <w:abstractNumId w:val="4"/>
  </w:num>
  <w:num w:numId="11">
    <w:abstractNumId w:val="7"/>
  </w:num>
  <w:num w:numId="12">
    <w:abstractNumId w:val="14"/>
  </w:num>
  <w:num w:numId="13">
    <w:abstractNumId w:val="17"/>
  </w:num>
  <w:num w:numId="14">
    <w:abstractNumId w:val="18"/>
  </w:num>
  <w:num w:numId="15">
    <w:abstractNumId w:val="5"/>
  </w:num>
  <w:num w:numId="16">
    <w:abstractNumId w:val="8"/>
  </w:num>
  <w:num w:numId="17">
    <w:abstractNumId w:val="9"/>
  </w:num>
  <w:num w:numId="18">
    <w:abstractNumId w:val="10"/>
  </w:num>
  <w:num w:numId="19">
    <w:abstractNumId w:val="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rsids>
    <w:rsidRoot w:val="00952E1F"/>
    <w:rsid w:val="00000666"/>
    <w:rsid w:val="00037816"/>
    <w:rsid w:val="0004195D"/>
    <w:rsid w:val="00047DAD"/>
    <w:rsid w:val="00047E36"/>
    <w:rsid w:val="0005038B"/>
    <w:rsid w:val="000559B8"/>
    <w:rsid w:val="00063556"/>
    <w:rsid w:val="00074E0E"/>
    <w:rsid w:val="00077E83"/>
    <w:rsid w:val="00081CD0"/>
    <w:rsid w:val="00082812"/>
    <w:rsid w:val="000854B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9337E"/>
    <w:rsid w:val="002B4E86"/>
    <w:rsid w:val="002D4053"/>
    <w:rsid w:val="002E3270"/>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B0D48"/>
    <w:rsid w:val="004B0F48"/>
    <w:rsid w:val="004C02B4"/>
    <w:rsid w:val="004F7058"/>
    <w:rsid w:val="00502880"/>
    <w:rsid w:val="00506943"/>
    <w:rsid w:val="00522128"/>
    <w:rsid w:val="00527DB1"/>
    <w:rsid w:val="00533052"/>
    <w:rsid w:val="0054367C"/>
    <w:rsid w:val="00556B6D"/>
    <w:rsid w:val="005608E5"/>
    <w:rsid w:val="00560E60"/>
    <w:rsid w:val="0057410A"/>
    <w:rsid w:val="00575AB1"/>
    <w:rsid w:val="00593FE8"/>
    <w:rsid w:val="005A7863"/>
    <w:rsid w:val="005B1018"/>
    <w:rsid w:val="005B1FFD"/>
    <w:rsid w:val="005B2D2D"/>
    <w:rsid w:val="005C29CD"/>
    <w:rsid w:val="005D3C98"/>
    <w:rsid w:val="005D7C96"/>
    <w:rsid w:val="00602F85"/>
    <w:rsid w:val="00616199"/>
    <w:rsid w:val="00621E44"/>
    <w:rsid w:val="00653E43"/>
    <w:rsid w:val="006706A4"/>
    <w:rsid w:val="00684D01"/>
    <w:rsid w:val="0069371A"/>
    <w:rsid w:val="00694B23"/>
    <w:rsid w:val="00696A72"/>
    <w:rsid w:val="006E6477"/>
    <w:rsid w:val="006F4AD1"/>
    <w:rsid w:val="00701A73"/>
    <w:rsid w:val="00737119"/>
    <w:rsid w:val="007621A4"/>
    <w:rsid w:val="007705E8"/>
    <w:rsid w:val="00782A28"/>
    <w:rsid w:val="007866C9"/>
    <w:rsid w:val="0079540F"/>
    <w:rsid w:val="007979F2"/>
    <w:rsid w:val="007B0543"/>
    <w:rsid w:val="007B39DB"/>
    <w:rsid w:val="007D24E4"/>
    <w:rsid w:val="007D5D30"/>
    <w:rsid w:val="007F5390"/>
    <w:rsid w:val="00810B4D"/>
    <w:rsid w:val="00830662"/>
    <w:rsid w:val="00842CF6"/>
    <w:rsid w:val="008853D7"/>
    <w:rsid w:val="008D1D06"/>
    <w:rsid w:val="008E036F"/>
    <w:rsid w:val="008E0A12"/>
    <w:rsid w:val="008E4C8E"/>
    <w:rsid w:val="008F0BC0"/>
    <w:rsid w:val="008F1493"/>
    <w:rsid w:val="00921DE1"/>
    <w:rsid w:val="00923AEC"/>
    <w:rsid w:val="00927316"/>
    <w:rsid w:val="009523E0"/>
    <w:rsid w:val="00952E1F"/>
    <w:rsid w:val="00957D2B"/>
    <w:rsid w:val="00962F21"/>
    <w:rsid w:val="009701A0"/>
    <w:rsid w:val="009731EF"/>
    <w:rsid w:val="0097365C"/>
    <w:rsid w:val="00986800"/>
    <w:rsid w:val="00992BE5"/>
    <w:rsid w:val="009A08B3"/>
    <w:rsid w:val="009B1789"/>
    <w:rsid w:val="009B1C86"/>
    <w:rsid w:val="009B23D0"/>
    <w:rsid w:val="009B766E"/>
    <w:rsid w:val="009E144B"/>
    <w:rsid w:val="00A03A51"/>
    <w:rsid w:val="00A43C6E"/>
    <w:rsid w:val="00A50E00"/>
    <w:rsid w:val="00A5288F"/>
    <w:rsid w:val="00A95B70"/>
    <w:rsid w:val="00AA25FD"/>
    <w:rsid w:val="00AA6ACC"/>
    <w:rsid w:val="00AA6BFA"/>
    <w:rsid w:val="00AE517C"/>
    <w:rsid w:val="00AF1AD7"/>
    <w:rsid w:val="00B22CC3"/>
    <w:rsid w:val="00B26228"/>
    <w:rsid w:val="00B27E46"/>
    <w:rsid w:val="00B631C2"/>
    <w:rsid w:val="00B72BDB"/>
    <w:rsid w:val="00BA5D8F"/>
    <w:rsid w:val="00BC194A"/>
    <w:rsid w:val="00BC767C"/>
    <w:rsid w:val="00BE0FEC"/>
    <w:rsid w:val="00BE669A"/>
    <w:rsid w:val="00C130C1"/>
    <w:rsid w:val="00C2703B"/>
    <w:rsid w:val="00C46A74"/>
    <w:rsid w:val="00C51DA5"/>
    <w:rsid w:val="00C53246"/>
    <w:rsid w:val="00C84033"/>
    <w:rsid w:val="00CA2000"/>
    <w:rsid w:val="00CB506C"/>
    <w:rsid w:val="00CD508F"/>
    <w:rsid w:val="00CF53A1"/>
    <w:rsid w:val="00CF7C2C"/>
    <w:rsid w:val="00D0732B"/>
    <w:rsid w:val="00D176BB"/>
    <w:rsid w:val="00D22E6F"/>
    <w:rsid w:val="00D310EA"/>
    <w:rsid w:val="00D4122C"/>
    <w:rsid w:val="00D418B8"/>
    <w:rsid w:val="00D4452A"/>
    <w:rsid w:val="00D5131A"/>
    <w:rsid w:val="00D55908"/>
    <w:rsid w:val="00D9392E"/>
    <w:rsid w:val="00DA22AF"/>
    <w:rsid w:val="00DC0EEA"/>
    <w:rsid w:val="00DC437D"/>
    <w:rsid w:val="00DD3E88"/>
    <w:rsid w:val="00DE69E3"/>
    <w:rsid w:val="00DE7632"/>
    <w:rsid w:val="00DF4245"/>
    <w:rsid w:val="00DF51A0"/>
    <w:rsid w:val="00E0121C"/>
    <w:rsid w:val="00E04C9C"/>
    <w:rsid w:val="00E22ACC"/>
    <w:rsid w:val="00E80369"/>
    <w:rsid w:val="00E870D3"/>
    <w:rsid w:val="00E954DA"/>
    <w:rsid w:val="00EA1BBA"/>
    <w:rsid w:val="00EB77CD"/>
    <w:rsid w:val="00ED1139"/>
    <w:rsid w:val="00ED3F76"/>
    <w:rsid w:val="00EE055A"/>
    <w:rsid w:val="00EE7852"/>
    <w:rsid w:val="00F00D01"/>
    <w:rsid w:val="00F00F69"/>
    <w:rsid w:val="00F23984"/>
    <w:rsid w:val="00F25EFB"/>
    <w:rsid w:val="00F3417E"/>
    <w:rsid w:val="00F50F90"/>
    <w:rsid w:val="00F54E0A"/>
    <w:rsid w:val="00F55095"/>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1F46"/>
    <w:pPr>
      <w:spacing w:before="60"/>
      <w:contextualSpacing/>
    </w:pPr>
    <w:rPr>
      <w:rFonts w:ascii="Arial" w:hAnsi="Arial"/>
      <w:szCs w:val="22"/>
    </w:rPr>
  </w:style>
  <w:style w:type="paragraph" w:styleId="Heading1">
    <w:name w:val="heading 1"/>
    <w:basedOn w:val="Normal"/>
    <w:next w:val="Normal"/>
    <w:link w:val="Heading1Char"/>
    <w:uiPriority w:val="9"/>
    <w:qFormat/>
    <w:rsid w:val="00ED1139"/>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etica" w:eastAsia="Courier"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Courier"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Courier" w:hAnsi="Helvetica" w:cs="Times New Roman"/>
        <w:b/>
        <w:bCs/>
      </w:rPr>
    </w:tblStylePr>
    <w:tblStylePr w:type="lastCol">
      <w:rPr>
        <w:rFonts w:ascii="Helvetica" w:eastAsia="Courier"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uiPriority w:val="99"/>
    <w:unhideWhenUsed/>
    <w:rsid w:val="00C130C1"/>
    <w:rPr>
      <w:color w:val="0000FF"/>
      <w:u w:val="single"/>
    </w:rPr>
  </w:style>
  <w:style w:type="paragraph" w:styleId="ColorfulList-Accent1">
    <w:name w:val="Colorful List Accent 1"/>
    <w:basedOn w:val="Normal"/>
    <w:uiPriority w:val="34"/>
    <w:qFormat/>
    <w:rsid w:val="00C130C1"/>
    <w:pPr>
      <w:spacing w:before="0" w:after="160" w:line="276" w:lineRule="auto"/>
      <w:ind w:left="720"/>
    </w:pPr>
    <w:rPr>
      <w:rFonts w:ascii="Calibri" w:hAnsi="Calibri"/>
      <w:color w:val="000000"/>
      <w:sz w:val="22"/>
      <w:szCs w:val="20"/>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rPr>
  </w:style>
  <w:style w:type="character" w:customStyle="1" w:styleId="CommentTextChar">
    <w:name w:val="Comment Text Char"/>
    <w:link w:val="CommentText"/>
    <w:uiPriority w:val="99"/>
    <w:rsid w:val="00C130C1"/>
    <w:rPr>
      <w:rFonts w:ascii="Arial" w:hAnsi="Arial" w:cs="Arial"/>
      <w:i/>
      <w:color w:val="002060"/>
      <w:sz w:val="20"/>
      <w:szCs w:val="20"/>
      <w:u w:val="single"/>
    </w:rPr>
  </w:style>
  <w:style w:type="table" w:styleId="TableGrid">
    <w:name w:val="Table Grid"/>
    <w:basedOn w:val="TableNormal"/>
    <w:uiPriority w:val="59"/>
    <w:rsid w:val="00DF5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link w:val="BalloonText"/>
    <w:uiPriority w:val="99"/>
    <w:semiHidden/>
    <w:rsid w:val="0054367C"/>
    <w:rPr>
      <w:rFonts w:ascii="Tahoma" w:hAnsi="Tahoma" w:cs="Tahoma"/>
      <w:sz w:val="16"/>
      <w:szCs w:val="16"/>
    </w:rPr>
  </w:style>
  <w:style w:type="character" w:customStyle="1" w:styleId="PlaceholderText">
    <w:name w:val="Placeholder Tex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link w:val="Footer"/>
    <w:uiPriority w:val="99"/>
    <w:rsid w:val="00527DB1"/>
    <w:rPr>
      <w:rFonts w:ascii="Arial" w:hAnsi="Arial"/>
      <w:sz w:val="20"/>
    </w:rPr>
  </w:style>
  <w:style w:type="character" w:styleId="CommentReference">
    <w:name w:val="annotation reference"/>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imes New Roman"/>
      <w:b/>
      <w:bCs/>
      <w:i w:val="0"/>
      <w:color w:val="auto"/>
      <w:u w:val="none"/>
    </w:rPr>
  </w:style>
  <w:style w:type="character" w:customStyle="1" w:styleId="CommentSubjectChar">
    <w:name w:val="Comment Subject Char"/>
    <w:link w:val="CommentSubject"/>
    <w:uiPriority w:val="99"/>
    <w:semiHidden/>
    <w:rsid w:val="008853D7"/>
    <w:rPr>
      <w:rFonts w:ascii="Arial" w:hAnsi="Arial" w:cs="Arial"/>
      <w:b/>
      <w:bCs/>
      <w:i/>
      <w:color w:val="002060"/>
      <w:sz w:val="20"/>
      <w:szCs w:val="20"/>
      <w:u w:val="single"/>
    </w:rPr>
  </w:style>
  <w:style w:type="paragraph" w:styleId="ColorfulShading-Accent1">
    <w:name w:val="Colorful Shading Accent 1"/>
    <w:hidden/>
    <w:uiPriority w:val="99"/>
    <w:semiHidden/>
    <w:rsid w:val="00410919"/>
    <w:rPr>
      <w:rFonts w:ascii="Arial" w:hAnsi="Arial"/>
      <w:szCs w:val="22"/>
    </w:rPr>
  </w:style>
  <w:style w:type="character" w:customStyle="1" w:styleId="Heading1Char">
    <w:name w:val="Heading 1 Char"/>
    <w:link w:val="Heading1"/>
    <w:uiPriority w:val="9"/>
    <w:rsid w:val="00ED1139"/>
    <w:rPr>
      <w:rFonts w:ascii="Cambria" w:eastAsia="MS Gothic" w:hAnsi="Cambria" w:cs="Times New Roman"/>
      <w:b/>
      <w:bCs/>
      <w:color w:val="365F91"/>
      <w:sz w:val="28"/>
      <w:szCs w:val="28"/>
    </w:rPr>
  </w:style>
  <w:style w:type="paragraph" w:customStyle="1" w:styleId="ThingHeading">
    <w:name w:val="Thing Heading"/>
    <w:basedOn w:val="ColorfulList-Accent1"/>
    <w:next w:val="Thingdescription"/>
    <w:qFormat/>
    <w:rsid w:val="00952E1F"/>
    <w:pPr>
      <w:numPr>
        <w:numId w:val="12"/>
      </w:numPr>
      <w:spacing w:after="0" w:line="420" w:lineRule="atLeast"/>
      <w:ind w:left="360"/>
      <w:contextualSpacing w:val="0"/>
      <w:outlineLvl w:val="1"/>
    </w:pPr>
    <w:rPr>
      <w:rFonts w:ascii="Helvetica" w:eastAsia="Times New Roman" w:hAnsi="Helvetica" w:cs="Helvetica"/>
      <w:color w:val="365F91"/>
      <w:sz w:val="36"/>
      <w:szCs w:val="39"/>
    </w:rPr>
  </w:style>
  <w:style w:type="paragraph" w:customStyle="1" w:styleId="Thingdescription">
    <w:name w:val="Thing description"/>
    <w:basedOn w:val="Normal"/>
    <w:qFormat/>
    <w:rsid w:val="00952E1F"/>
    <w:pPr>
      <w:spacing w:before="360" w:after="360" w:line="420" w:lineRule="atLeast"/>
      <w:contextualSpacing w:val="0"/>
      <w:outlineLvl w:val="1"/>
    </w:pPr>
    <w:rPr>
      <w:rFonts w:ascii="Helvetica" w:eastAsia="Times New Roman" w:hAnsi="Helvetica" w:cs="Helvetica"/>
      <w:color w:val="121212"/>
      <w:sz w:val="32"/>
      <w:szCs w:val="39"/>
    </w:rPr>
  </w:style>
</w:styles>
</file>

<file path=word/webSettings.xml><?xml version="1.0" encoding="utf-8"?>
<w:webSettings xmlns:r="http://schemas.openxmlformats.org/officeDocument/2006/relationships" xmlns:w="http://schemas.openxmlformats.org/wordprocessingml/2006/main">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72"/>
  <w:targetScreenSz w:val="1024x768"/>
</w:webSettings>
</file>

<file path=word/_rels/document.xml.rels><Relationships xmlns="http://schemas.openxmlformats.org/package/2006/relationships"><Relationship Id="rId8" Type="http://schemas.openxmlformats.org/officeDocument/2006/relationships/hyperlink" Target="http://eur-lex.europa.eu/LexUriServ/LexUriServ.do?uri=OJ:L:2001:121:0034:0044:de:PDF" TargetMode="External"/><Relationship Id="rId13" Type="http://schemas.openxmlformats.org/officeDocument/2006/relationships/hyperlink" Target="http://www.ema.europa.eu/docs/en_GB/document_library/Scientific_guideline/2009/09/WC500002842.pdf" TargetMode="External"/><Relationship Id="rId18" Type="http://schemas.openxmlformats.org/officeDocument/2006/relationships/hyperlink" Target="http://www.ema.europa.eu/docs/en_GB/document_library/Scientific_guideline/2009/09/WC50000292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ur-lex.europa.eu/LexUriServ/LexUriServ.do?uri=OJ:L:2001:121:0034:0044:de:PDF" TargetMode="External"/><Relationship Id="rId12" Type="http://schemas.openxmlformats.org/officeDocument/2006/relationships/hyperlink" Target="http://www.ema.europa.eu/docs/en_GB/document_library/Scientific_guideline/2009/09/WC500002842.pdf" TargetMode="External"/><Relationship Id="rId17" Type="http://schemas.openxmlformats.org/officeDocument/2006/relationships/hyperlink" Target="http://www.ema.europa.eu/docs/en_GB/document_library/Scientific_guideline/2009/09/WC500002877.pdf" TargetMode="External"/><Relationship Id="rId2" Type="http://schemas.openxmlformats.org/officeDocument/2006/relationships/styles" Target="styles.xml"/><Relationship Id="rId16" Type="http://schemas.openxmlformats.org/officeDocument/2006/relationships/hyperlink" Target="http://www.ema.europa.eu/docs/en_GB/document_library/Scientific_guideline/2009/09/WC500002875.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a.europa.eu/docs/en_GB/document_library/Scientific_guideline/2009/09/WC500002842.pdf" TargetMode="External"/><Relationship Id="rId5" Type="http://schemas.openxmlformats.org/officeDocument/2006/relationships/footnotes" Target="footnotes.xml"/><Relationship Id="rId15" Type="http://schemas.openxmlformats.org/officeDocument/2006/relationships/hyperlink" Target="http://www.ema.europa.eu/docs/en_GB/document_library/Scientific_guideline/2009/09/WC500002874.pdf" TargetMode="External"/><Relationship Id="rId10" Type="http://schemas.openxmlformats.org/officeDocument/2006/relationships/hyperlink" Target="http://www.ema.europa.eu/docs/en_GB/document_library/Scientific_guideline/2009/09/WC500002720.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xUriServ/LexUriServ.do?uri=OJ:L:2001:121:0034:0044:de:PDF" TargetMode="External"/><Relationship Id="rId14" Type="http://schemas.openxmlformats.org/officeDocument/2006/relationships/hyperlink" Target="http://www.ema.europa.eu/docs/en_GB/document_library/Scientific_guideline/2009/09/WC500002874.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Tiberius:Users:Heidi:Documents:DIA%20Europe:Factsheet-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Factsheet-X-Template.dotx</Template>
  <TotalTime>0</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7209</CharactersWithSpaces>
  <SharedDoc>false</SharedDoc>
  <HLinks>
    <vt:vector size="72" baseType="variant">
      <vt:variant>
        <vt:i4>2621476</vt:i4>
      </vt:variant>
      <vt:variant>
        <vt:i4>33</vt:i4>
      </vt:variant>
      <vt:variant>
        <vt:i4>0</vt:i4>
      </vt:variant>
      <vt:variant>
        <vt:i4>5</vt:i4>
      </vt:variant>
      <vt:variant>
        <vt:lpwstr>http://www.ema.europa.eu/docs/en_GB/document_library/Scientific_guideline/2009/09/WC500002926.pdf</vt:lpwstr>
      </vt:variant>
      <vt:variant>
        <vt:lpwstr/>
      </vt:variant>
      <vt:variant>
        <vt:i4>2949156</vt:i4>
      </vt:variant>
      <vt:variant>
        <vt:i4>30</vt:i4>
      </vt:variant>
      <vt:variant>
        <vt:i4>0</vt:i4>
      </vt:variant>
      <vt:variant>
        <vt:i4>5</vt:i4>
      </vt:variant>
      <vt:variant>
        <vt:lpwstr>http://www.ema.europa.eu/docs/en_GB/document_library/Scientific_guideline/2009/09/WC500002877.pdf</vt:lpwstr>
      </vt:variant>
      <vt:variant>
        <vt:lpwstr/>
      </vt:variant>
      <vt:variant>
        <vt:i4>2949158</vt:i4>
      </vt:variant>
      <vt:variant>
        <vt:i4>27</vt:i4>
      </vt:variant>
      <vt:variant>
        <vt:i4>0</vt:i4>
      </vt:variant>
      <vt:variant>
        <vt:i4>5</vt:i4>
      </vt:variant>
      <vt:variant>
        <vt:lpwstr>http://www.ema.europa.eu/docs/en_GB/document_library/Scientific_guideline/2009/09/WC500002875.pdf</vt:lpwstr>
      </vt:variant>
      <vt:variant>
        <vt:lpwstr/>
      </vt:variant>
      <vt:variant>
        <vt:i4>2949159</vt:i4>
      </vt:variant>
      <vt:variant>
        <vt:i4>24</vt:i4>
      </vt:variant>
      <vt:variant>
        <vt:i4>0</vt:i4>
      </vt:variant>
      <vt:variant>
        <vt:i4>5</vt:i4>
      </vt:variant>
      <vt:variant>
        <vt:lpwstr>http://www.ema.europa.eu/docs/en_GB/document_library/Scientific_guideline/2009/09/WC500002874.pdf</vt:lpwstr>
      </vt:variant>
      <vt:variant>
        <vt:lpwstr/>
      </vt:variant>
      <vt:variant>
        <vt:i4>2949159</vt:i4>
      </vt:variant>
      <vt:variant>
        <vt:i4>21</vt:i4>
      </vt:variant>
      <vt:variant>
        <vt:i4>0</vt:i4>
      </vt:variant>
      <vt:variant>
        <vt:i4>5</vt:i4>
      </vt:variant>
      <vt:variant>
        <vt:lpwstr>http://www.ema.europa.eu/docs/en_GB/document_library/Scientific_guideline/2009/09/WC500002874.pdf</vt:lpwstr>
      </vt:variant>
      <vt:variant>
        <vt:lpwstr/>
      </vt:variant>
      <vt:variant>
        <vt:i4>3014689</vt:i4>
      </vt:variant>
      <vt:variant>
        <vt:i4>18</vt:i4>
      </vt:variant>
      <vt:variant>
        <vt:i4>0</vt:i4>
      </vt:variant>
      <vt:variant>
        <vt:i4>5</vt:i4>
      </vt:variant>
      <vt:variant>
        <vt:lpwstr>http://www.ema.europa.eu/docs/en_GB/document_library/Scientific_guideline/2009/09/WC500002842.pdf</vt:lpwstr>
      </vt:variant>
      <vt:variant>
        <vt:lpwstr/>
      </vt:variant>
      <vt:variant>
        <vt:i4>3014689</vt:i4>
      </vt:variant>
      <vt:variant>
        <vt:i4>15</vt:i4>
      </vt:variant>
      <vt:variant>
        <vt:i4>0</vt:i4>
      </vt:variant>
      <vt:variant>
        <vt:i4>5</vt:i4>
      </vt:variant>
      <vt:variant>
        <vt:lpwstr>http://www.ema.europa.eu/docs/en_GB/document_library/Scientific_guideline/2009/09/WC500002842.pdf</vt:lpwstr>
      </vt:variant>
      <vt:variant>
        <vt:lpwstr/>
      </vt:variant>
      <vt:variant>
        <vt:i4>3014689</vt:i4>
      </vt:variant>
      <vt:variant>
        <vt:i4>12</vt:i4>
      </vt:variant>
      <vt:variant>
        <vt:i4>0</vt:i4>
      </vt:variant>
      <vt:variant>
        <vt:i4>5</vt:i4>
      </vt:variant>
      <vt:variant>
        <vt:lpwstr>http://www.ema.europa.eu/docs/en_GB/document_library/Scientific_guideline/2009/09/WC500002842.pdf</vt:lpwstr>
      </vt:variant>
      <vt:variant>
        <vt:lpwstr/>
      </vt:variant>
      <vt:variant>
        <vt:i4>2621484</vt:i4>
      </vt:variant>
      <vt:variant>
        <vt:i4>9</vt:i4>
      </vt:variant>
      <vt:variant>
        <vt:i4>0</vt:i4>
      </vt:variant>
      <vt:variant>
        <vt:i4>5</vt:i4>
      </vt:variant>
      <vt:variant>
        <vt:lpwstr>http://www.ema.europa.eu/docs/en_GB/document_library/Scientific_guideline/2009/09/WC500002720.pdf</vt:lpwstr>
      </vt:variant>
      <vt:variant>
        <vt:lpwstr/>
      </vt:variant>
      <vt:variant>
        <vt:i4>5636115</vt:i4>
      </vt:variant>
      <vt:variant>
        <vt:i4>6</vt:i4>
      </vt:variant>
      <vt:variant>
        <vt:i4>0</vt:i4>
      </vt:variant>
      <vt:variant>
        <vt:i4>5</vt:i4>
      </vt:variant>
      <vt:variant>
        <vt:lpwstr>http://eur-lex.europa.eu/LexUriServ/LexUriServ.do?uri=OJ:L:2001:121:0034:0044:en:PDF</vt:lpwstr>
      </vt:variant>
      <vt:variant>
        <vt:lpwstr/>
      </vt:variant>
      <vt:variant>
        <vt:i4>5636115</vt:i4>
      </vt:variant>
      <vt:variant>
        <vt:i4>3</vt:i4>
      </vt:variant>
      <vt:variant>
        <vt:i4>0</vt:i4>
      </vt:variant>
      <vt:variant>
        <vt:i4>5</vt:i4>
      </vt:variant>
      <vt:variant>
        <vt:lpwstr>http://eur-lex.europa.eu/LexUriServ/LexUriServ.do?uri=OJ:L:2001:121:0034:0044:en:PDF</vt:lpwstr>
      </vt:variant>
      <vt:variant>
        <vt:lpwstr/>
      </vt:variant>
      <vt:variant>
        <vt:i4>5636115</vt:i4>
      </vt:variant>
      <vt:variant>
        <vt:i4>0</vt:i4>
      </vt:variant>
      <vt:variant>
        <vt:i4>0</vt:i4>
      </vt:variant>
      <vt:variant>
        <vt:i4>5</vt:i4>
      </vt:variant>
      <vt:variant>
        <vt:lpwstr>http://eur-lex.europa.eu/LexUriServ/LexUriServ.do?uri=OJ:L:2001:121:0034:0044:en:PDF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Scherz</dc:creator>
  <cp:lastModifiedBy>john.lenehan</cp:lastModifiedBy>
  <cp:revision>2</cp:revision>
  <cp:lastPrinted>2014-10-24T15:00:00Z</cp:lastPrinted>
  <dcterms:created xsi:type="dcterms:W3CDTF">2015-06-16T16:23:00Z</dcterms:created>
  <dcterms:modified xsi:type="dcterms:W3CDTF">2015-06-16T16:23:00Z</dcterms:modified>
</cp:coreProperties>
</file>